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BE054" w14:textId="6FC52E13" w:rsidR="00BB7758" w:rsidRDefault="00BC3342" w:rsidP="00BC3342">
      <w:pPr>
        <w:spacing w:after="0" w:line="240" w:lineRule="auto"/>
        <w:rPr>
          <w:b/>
          <w:color w:val="595959"/>
          <w:sz w:val="48"/>
          <w:szCs w:val="48"/>
        </w:rPr>
      </w:pPr>
      <w:r>
        <w:rPr>
          <w:noProof/>
        </w:rPr>
        <w:drawing>
          <wp:anchor distT="0" distB="0" distL="0" distR="0" simplePos="0" relativeHeight="251658240" behindDoc="1" locked="0" layoutInCell="1" hidden="0" allowOverlap="1" wp14:anchorId="2F66EDAD" wp14:editId="37A27AFB">
            <wp:simplePos x="0" y="0"/>
            <wp:positionH relativeFrom="column">
              <wp:posOffset>3984810</wp:posOffset>
            </wp:positionH>
            <wp:positionV relativeFrom="paragraph">
              <wp:posOffset>-22860</wp:posOffset>
            </wp:positionV>
            <wp:extent cx="3051891" cy="423528"/>
            <wp:effectExtent l="0" t="0" r="0" b="0"/>
            <wp:wrapNone/>
            <wp:docPr id="1" name="image1.png">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image1.png">
                      <a:hlinkClick r:id="rId7"/>
                    </pic:cNvPr>
                    <pic:cNvPicPr preferRelativeResize="0"/>
                  </pic:nvPicPr>
                  <pic:blipFill>
                    <a:blip r:embed="rId8"/>
                    <a:srcRect/>
                    <a:stretch>
                      <a:fillRect/>
                    </a:stretch>
                  </pic:blipFill>
                  <pic:spPr>
                    <a:xfrm>
                      <a:off x="0" y="0"/>
                      <a:ext cx="3051891" cy="423528"/>
                    </a:xfrm>
                    <a:prstGeom prst="rect">
                      <a:avLst/>
                    </a:prstGeom>
                    <a:ln/>
                  </pic:spPr>
                </pic:pic>
              </a:graphicData>
            </a:graphic>
          </wp:anchor>
        </w:drawing>
      </w:r>
      <w:r>
        <w:rPr>
          <w:b/>
          <w:color w:val="595959"/>
          <w:sz w:val="48"/>
          <w:szCs w:val="48"/>
        </w:rPr>
        <w:t xml:space="preserve">BASIC SWOT ANALYSIS </w:t>
      </w:r>
      <w:r>
        <w:rPr>
          <w:b/>
          <w:color w:val="595959"/>
          <w:sz w:val="48"/>
          <w:szCs w:val="48"/>
        </w:rPr>
        <w:br/>
        <w:t xml:space="preserve">MARKETING </w:t>
      </w:r>
      <w:r w:rsidR="00AB0042">
        <w:rPr>
          <w:b/>
          <w:color w:val="595959"/>
          <w:sz w:val="48"/>
          <w:szCs w:val="48"/>
        </w:rPr>
        <w:t>EXAMPLE</w:t>
      </w:r>
      <w:r>
        <w:rPr>
          <w:b/>
          <w:color w:val="595959"/>
          <w:sz w:val="48"/>
          <w:szCs w:val="48"/>
        </w:rPr>
        <w:t xml:space="preserve"> </w:t>
      </w:r>
      <w:bookmarkStart w:id="0" w:name="_gjdgxs" w:colFirst="0" w:colLast="0"/>
      <w:bookmarkEnd w:id="0"/>
    </w:p>
    <w:p w14:paraId="676ABD5C" w14:textId="77777777" w:rsidR="00BC3342" w:rsidRPr="00BC3342" w:rsidRDefault="00BC3342" w:rsidP="00BC3342">
      <w:pPr>
        <w:spacing w:after="0" w:line="240" w:lineRule="auto"/>
        <w:rPr>
          <w:b/>
          <w:color w:val="595959"/>
        </w:rPr>
      </w:pPr>
    </w:p>
    <w:tbl>
      <w:tblPr>
        <w:tblW w:w="11120" w:type="dxa"/>
        <w:tblBorders>
          <w:bottom w:val="single" w:sz="2" w:space="0" w:color="D9D9D9" w:themeColor="background1" w:themeShade="D9"/>
        </w:tblBorders>
        <w:tblLook w:val="04A0" w:firstRow="1" w:lastRow="0" w:firstColumn="1" w:lastColumn="0" w:noHBand="0" w:noVBand="1"/>
      </w:tblPr>
      <w:tblGrid>
        <w:gridCol w:w="1890"/>
        <w:gridCol w:w="9230"/>
      </w:tblGrid>
      <w:tr w:rsidR="00BC3342" w:rsidRPr="00BC3342" w14:paraId="7E4AE1A6" w14:textId="77777777" w:rsidTr="00DC07F1">
        <w:trPr>
          <w:trHeight w:val="576"/>
        </w:trPr>
        <w:tc>
          <w:tcPr>
            <w:tcW w:w="1890" w:type="dxa"/>
            <w:shd w:val="clear" w:color="000000" w:fill="FFFFFF"/>
            <w:noWrap/>
            <w:hideMark/>
          </w:tcPr>
          <w:p w14:paraId="43694A15" w14:textId="77777777" w:rsidR="00BC3342" w:rsidRPr="00BC3342" w:rsidRDefault="00BC3342" w:rsidP="00792994">
            <w:pPr>
              <w:spacing w:after="0" w:line="240" w:lineRule="auto"/>
              <w:rPr>
                <w:rFonts w:eastAsia="Times New Roman" w:cs="Calibri"/>
                <w:color w:val="595959"/>
              </w:rPr>
            </w:pPr>
            <w:r w:rsidRPr="00BC3342">
              <w:rPr>
                <w:rFonts w:eastAsia="Times New Roman" w:cs="Calibri"/>
                <w:color w:val="262626" w:themeColor="text1" w:themeTint="D9"/>
                <w:sz w:val="18"/>
                <w:szCs w:val="18"/>
              </w:rPr>
              <w:t xml:space="preserve">SWOT ANALYSIS CONDUCTED FOR: </w:t>
            </w:r>
          </w:p>
        </w:tc>
        <w:tc>
          <w:tcPr>
            <w:tcW w:w="9230" w:type="dxa"/>
            <w:shd w:val="clear" w:color="000000" w:fill="FFFFFF"/>
            <w:noWrap/>
            <w:hideMark/>
          </w:tcPr>
          <w:p w14:paraId="2DB11A4E" w14:textId="77777777" w:rsidR="00BC3342" w:rsidRPr="00BC3342" w:rsidRDefault="00BC3342" w:rsidP="00DB1CCF">
            <w:pPr>
              <w:spacing w:after="0" w:line="240" w:lineRule="auto"/>
              <w:rPr>
                <w:rFonts w:eastAsia="Times New Roman" w:cs="Calibri"/>
                <w:color w:val="595959"/>
                <w:sz w:val="40"/>
                <w:szCs w:val="40"/>
              </w:rPr>
            </w:pPr>
            <w:r w:rsidRPr="00BC3342">
              <w:rPr>
                <w:rFonts w:eastAsia="Times New Roman" w:cs="Calibri"/>
                <w:color w:val="000000" w:themeColor="text1"/>
                <w:sz w:val="40"/>
                <w:szCs w:val="40"/>
              </w:rPr>
              <w:t>Positive Charge</w:t>
            </w:r>
          </w:p>
        </w:tc>
      </w:tr>
    </w:tbl>
    <w:p w14:paraId="2689EB7B" w14:textId="77777777" w:rsidR="00BB7758" w:rsidRPr="00AB0042" w:rsidRDefault="00BB7758" w:rsidP="00BC3342">
      <w:pPr>
        <w:spacing w:after="0" w:line="240" w:lineRule="auto"/>
        <w:rPr>
          <w:bCs/>
          <w:color w:val="595959"/>
          <w:sz w:val="13"/>
          <w:szCs w:val="13"/>
        </w:rPr>
      </w:pPr>
      <w:bookmarkStart w:id="1" w:name="_30j0zll" w:colFirst="0" w:colLast="0"/>
      <w:bookmarkEnd w:id="1"/>
    </w:p>
    <w:tbl>
      <w:tblPr>
        <w:tblW w:w="11160" w:type="dxa"/>
        <w:tblCellMar>
          <w:left w:w="0" w:type="dxa"/>
          <w:right w:w="0" w:type="dxa"/>
        </w:tblCellMar>
        <w:tblLook w:val="04A0" w:firstRow="1" w:lastRow="0" w:firstColumn="1" w:lastColumn="0" w:noHBand="0" w:noVBand="1"/>
      </w:tblPr>
      <w:tblGrid>
        <w:gridCol w:w="5472"/>
        <w:gridCol w:w="237"/>
        <w:gridCol w:w="5488"/>
      </w:tblGrid>
      <w:tr w:rsidR="00BC3342" w:rsidRPr="00BC3342" w14:paraId="7A1A443A" w14:textId="77777777" w:rsidTr="00AB0042">
        <w:trPr>
          <w:trHeight w:val="432"/>
        </w:trPr>
        <w:tc>
          <w:tcPr>
            <w:tcW w:w="11160" w:type="dxa"/>
            <w:gridSpan w:val="3"/>
            <w:tcBorders>
              <w:top w:val="nil"/>
              <w:left w:val="nil"/>
              <w:bottom w:val="nil"/>
              <w:right w:val="nil"/>
            </w:tcBorders>
            <w:shd w:val="clear" w:color="000000" w:fill="FFFFFF"/>
            <w:noWrap/>
            <w:vAlign w:val="center"/>
            <w:hideMark/>
          </w:tcPr>
          <w:p w14:paraId="3752AF42" w14:textId="77777777" w:rsidR="00BC3342" w:rsidRPr="00BC3342" w:rsidRDefault="00BC3342" w:rsidP="00DC07F1">
            <w:pPr>
              <w:spacing w:after="0" w:line="240" w:lineRule="auto"/>
              <w:jc w:val="center"/>
              <w:rPr>
                <w:rFonts w:eastAsia="Times New Roman" w:cs="Calibri"/>
                <w:color w:val="595959"/>
                <w:sz w:val="44"/>
                <w:szCs w:val="44"/>
              </w:rPr>
            </w:pPr>
            <w:r w:rsidRPr="00BC3342">
              <w:rPr>
                <w:rFonts w:eastAsia="Times New Roman" w:cs="Calibri"/>
                <w:color w:val="595959"/>
                <w:sz w:val="40"/>
                <w:szCs w:val="40"/>
              </w:rPr>
              <w:t>INTERNAL FACTORS</w:t>
            </w:r>
          </w:p>
        </w:tc>
      </w:tr>
      <w:tr w:rsidR="00BC3342" w:rsidRPr="00BC3342" w14:paraId="0E496341" w14:textId="77777777" w:rsidTr="00DB1CCF">
        <w:trPr>
          <w:trHeight w:val="576"/>
        </w:trPr>
        <w:tc>
          <w:tcPr>
            <w:tcW w:w="5472" w:type="dxa"/>
            <w:tcBorders>
              <w:top w:val="single" w:sz="4" w:space="0" w:color="BFBFBF"/>
              <w:left w:val="single" w:sz="4" w:space="0" w:color="BFBFBF"/>
              <w:bottom w:val="nil"/>
              <w:right w:val="single" w:sz="4" w:space="0" w:color="BFBFBF"/>
            </w:tcBorders>
            <w:shd w:val="clear" w:color="000000" w:fill="FBB12B"/>
            <w:noWrap/>
            <w:vAlign w:val="center"/>
            <w:hideMark/>
          </w:tcPr>
          <w:p w14:paraId="5CB854C9" w14:textId="667E47FB" w:rsidR="00BC3342" w:rsidRPr="00BC3342" w:rsidRDefault="00BC3342" w:rsidP="00BC3342">
            <w:pPr>
              <w:spacing w:after="0" w:line="240" w:lineRule="auto"/>
              <w:jc w:val="center"/>
              <w:rPr>
                <w:rFonts w:eastAsia="Times New Roman" w:cs="Calibri"/>
                <w:color w:val="000000"/>
                <w:sz w:val="36"/>
                <w:szCs w:val="36"/>
              </w:rPr>
            </w:pPr>
            <w:r w:rsidRPr="00BC3342">
              <w:rPr>
                <w:rFonts w:eastAsia="Times New Roman" w:cs="Calibri"/>
                <w:color w:val="000000"/>
                <w:sz w:val="36"/>
                <w:szCs w:val="36"/>
              </w:rPr>
              <w:t>STRENGTHS</w:t>
            </w:r>
            <w:r w:rsidRPr="00BC3342">
              <w:rPr>
                <w:rFonts w:eastAsia="Times New Roman" w:cs="Calibri"/>
                <w:color w:val="000000"/>
                <w:sz w:val="60"/>
                <w:szCs w:val="60"/>
              </w:rPr>
              <w:t xml:space="preserve"> </w:t>
            </w:r>
            <w:r w:rsidRPr="00BC3342">
              <w:rPr>
                <w:rFonts w:eastAsia="Times New Roman" w:cs="Calibri"/>
                <w:color w:val="000000"/>
                <w:sz w:val="36"/>
                <w:szCs w:val="36"/>
              </w:rPr>
              <w:t>+</w:t>
            </w:r>
          </w:p>
        </w:tc>
        <w:tc>
          <w:tcPr>
            <w:tcW w:w="200" w:type="dxa"/>
            <w:tcBorders>
              <w:top w:val="nil"/>
              <w:left w:val="nil"/>
              <w:bottom w:val="nil"/>
              <w:right w:val="nil"/>
            </w:tcBorders>
            <w:shd w:val="clear" w:color="000000" w:fill="FFFFFF"/>
            <w:noWrap/>
            <w:hideMark/>
          </w:tcPr>
          <w:p w14:paraId="5A351C2E" w14:textId="77777777" w:rsidR="00BC3342" w:rsidRPr="00DB1CCF" w:rsidRDefault="00BC3342" w:rsidP="00BC3342">
            <w:pPr>
              <w:spacing w:after="0" w:line="240" w:lineRule="auto"/>
              <w:rPr>
                <w:rFonts w:eastAsia="Times New Roman" w:cs="Calibri"/>
                <w:color w:val="000000"/>
                <w:sz w:val="36"/>
                <w:szCs w:val="36"/>
              </w:rPr>
            </w:pPr>
            <w:r w:rsidRPr="00BC3342">
              <w:rPr>
                <w:rFonts w:eastAsia="Times New Roman" w:cs="Calibri"/>
                <w:color w:val="000000"/>
                <w:sz w:val="36"/>
                <w:szCs w:val="36"/>
              </w:rPr>
              <w:t> </w:t>
            </w:r>
          </w:p>
          <w:p w14:paraId="26999CA1" w14:textId="77777777" w:rsidR="00DB1CCF" w:rsidRPr="00BC3342" w:rsidRDefault="00DB1CCF" w:rsidP="00BC3342">
            <w:pPr>
              <w:spacing w:after="0" w:line="240" w:lineRule="auto"/>
              <w:rPr>
                <w:rFonts w:eastAsia="Times New Roman" w:cs="Calibri"/>
                <w:color w:val="000000"/>
                <w:sz w:val="36"/>
                <w:szCs w:val="36"/>
              </w:rPr>
            </w:pPr>
          </w:p>
        </w:tc>
        <w:tc>
          <w:tcPr>
            <w:tcW w:w="5488" w:type="dxa"/>
            <w:tcBorders>
              <w:top w:val="single" w:sz="4" w:space="0" w:color="BFBFBF"/>
              <w:left w:val="single" w:sz="4" w:space="0" w:color="BFBFBF"/>
              <w:bottom w:val="nil"/>
              <w:right w:val="single" w:sz="4" w:space="0" w:color="BFBFBF"/>
            </w:tcBorders>
            <w:shd w:val="clear" w:color="000000" w:fill="FB682C"/>
            <w:noWrap/>
            <w:vAlign w:val="center"/>
            <w:hideMark/>
          </w:tcPr>
          <w:p w14:paraId="6E1A9EC2" w14:textId="78989ABD" w:rsidR="00BC3342" w:rsidRPr="00BC3342" w:rsidRDefault="00BC3342" w:rsidP="00BC3342">
            <w:pPr>
              <w:spacing w:after="0" w:line="240" w:lineRule="auto"/>
              <w:jc w:val="center"/>
              <w:rPr>
                <w:rFonts w:eastAsia="Times New Roman" w:cs="Calibri"/>
                <w:color w:val="000000"/>
                <w:sz w:val="36"/>
                <w:szCs w:val="36"/>
              </w:rPr>
            </w:pPr>
            <w:r w:rsidRPr="00BC3342">
              <w:rPr>
                <w:rFonts w:eastAsia="Times New Roman" w:cs="Calibri"/>
                <w:color w:val="000000"/>
                <w:sz w:val="36"/>
                <w:szCs w:val="36"/>
              </w:rPr>
              <w:t>WEAKNESSES</w:t>
            </w:r>
            <w:r w:rsidR="00DB1CCF" w:rsidRPr="00BC3342">
              <w:rPr>
                <w:rFonts w:eastAsia="Times New Roman" w:cs="Calibri"/>
                <w:color w:val="000000"/>
                <w:sz w:val="60"/>
                <w:szCs w:val="60"/>
              </w:rPr>
              <w:t xml:space="preserve"> </w:t>
            </w:r>
            <w:r w:rsidRPr="00BC3342">
              <w:rPr>
                <w:rFonts w:eastAsia="Times New Roman" w:cs="Calibri"/>
                <w:color w:val="000000"/>
                <w:sz w:val="36"/>
                <w:szCs w:val="36"/>
              </w:rPr>
              <w:t>–</w:t>
            </w:r>
          </w:p>
        </w:tc>
      </w:tr>
      <w:tr w:rsidR="00DB1CCF" w:rsidRPr="00BC3342" w14:paraId="32398B6C" w14:textId="77777777" w:rsidTr="00AB0042">
        <w:trPr>
          <w:trHeight w:val="1008"/>
        </w:trPr>
        <w:tc>
          <w:tcPr>
            <w:tcW w:w="5472" w:type="dxa"/>
            <w:tcBorders>
              <w:top w:val="nil"/>
              <w:left w:val="single" w:sz="4" w:space="0" w:color="BFBFBF"/>
              <w:bottom w:val="nil"/>
              <w:right w:val="single" w:sz="4" w:space="0" w:color="BFBFBF"/>
            </w:tcBorders>
            <w:shd w:val="clear" w:color="000000" w:fill="FBF2EA"/>
            <w:tcMar>
              <w:top w:w="144" w:type="dxa"/>
              <w:left w:w="115" w:type="dxa"/>
              <w:right w:w="72" w:type="dxa"/>
            </w:tcMar>
            <w:hideMark/>
          </w:tcPr>
          <w:p w14:paraId="307161F2" w14:textId="5F99BC3C" w:rsidR="00BC3342" w:rsidRPr="00AB0042" w:rsidRDefault="00BC3342" w:rsidP="00DB1CCF">
            <w:pPr>
              <w:spacing w:after="0" w:line="240" w:lineRule="auto"/>
              <w:rPr>
                <w:rFonts w:eastAsia="Times New Roman" w:cs="Calibri"/>
                <w:color w:val="262626"/>
                <w:sz w:val="18"/>
                <w:szCs w:val="18"/>
              </w:rPr>
            </w:pPr>
            <w:r w:rsidRPr="00AB0042">
              <w:rPr>
                <w:rFonts w:eastAsia="Times New Roman" w:cs="Calibri"/>
                <w:color w:val="404040" w:themeColor="text1" w:themeTint="BF"/>
                <w:sz w:val="18"/>
                <w:szCs w:val="18"/>
              </w:rPr>
              <w:t xml:space="preserve">In the </w:t>
            </w:r>
            <w:r w:rsidRPr="00AB0042">
              <w:rPr>
                <w:rFonts w:eastAsia="Times New Roman" w:cs="Calibri"/>
                <w:i/>
                <w:iCs/>
                <w:color w:val="404040" w:themeColor="text1" w:themeTint="BF"/>
                <w:sz w:val="18"/>
                <w:szCs w:val="18"/>
              </w:rPr>
              <w:t>Strengths</w:t>
            </w:r>
            <w:r w:rsidRPr="00AB0042">
              <w:rPr>
                <w:rFonts w:eastAsia="Times New Roman" w:cs="Calibri"/>
                <w:color w:val="404040" w:themeColor="text1" w:themeTint="BF"/>
                <w:sz w:val="18"/>
                <w:szCs w:val="18"/>
              </w:rPr>
              <w:t xml:space="preserve"> section of a marketing SWOT template, one should identify and list the unique advantages and core competencies of the company in the context of the market and competitors.</w:t>
            </w:r>
          </w:p>
        </w:tc>
        <w:tc>
          <w:tcPr>
            <w:tcW w:w="200" w:type="dxa"/>
            <w:tcBorders>
              <w:top w:val="nil"/>
              <w:left w:val="nil"/>
              <w:bottom w:val="nil"/>
              <w:right w:val="nil"/>
            </w:tcBorders>
            <w:shd w:val="clear" w:color="000000" w:fill="FFFFFF"/>
            <w:noWrap/>
            <w:hideMark/>
          </w:tcPr>
          <w:p w14:paraId="08C756A3" w14:textId="77777777" w:rsidR="00BC3342" w:rsidRPr="00AB0042" w:rsidRDefault="00BC3342" w:rsidP="00DB1CCF">
            <w:pPr>
              <w:spacing w:after="0" w:line="240" w:lineRule="auto"/>
              <w:rPr>
                <w:rFonts w:eastAsia="Times New Roman" w:cs="Calibri"/>
                <w:color w:val="000000"/>
                <w:sz w:val="18"/>
                <w:szCs w:val="18"/>
              </w:rPr>
            </w:pPr>
            <w:r w:rsidRPr="00AB0042">
              <w:rPr>
                <w:rFonts w:eastAsia="Times New Roman" w:cs="Calibri"/>
                <w:color w:val="000000"/>
                <w:sz w:val="18"/>
                <w:szCs w:val="18"/>
              </w:rPr>
              <w:t> </w:t>
            </w:r>
          </w:p>
        </w:tc>
        <w:tc>
          <w:tcPr>
            <w:tcW w:w="5488" w:type="dxa"/>
            <w:tcBorders>
              <w:top w:val="nil"/>
              <w:left w:val="single" w:sz="4" w:space="0" w:color="BFBFBF"/>
              <w:bottom w:val="nil"/>
              <w:right w:val="single" w:sz="4" w:space="0" w:color="BFBFBF"/>
            </w:tcBorders>
            <w:shd w:val="clear" w:color="000000" w:fill="FBEDE0"/>
            <w:tcMar>
              <w:top w:w="144" w:type="dxa"/>
              <w:left w:w="115" w:type="dxa"/>
              <w:right w:w="72" w:type="dxa"/>
            </w:tcMar>
            <w:hideMark/>
          </w:tcPr>
          <w:p w14:paraId="625356E5" w14:textId="05E33A58" w:rsidR="00BC3342" w:rsidRPr="00AB0042" w:rsidRDefault="00DB1CCF" w:rsidP="00DB1CCF">
            <w:pPr>
              <w:spacing w:after="0" w:line="240" w:lineRule="auto"/>
              <w:rPr>
                <w:sz w:val="18"/>
                <w:szCs w:val="18"/>
              </w:rPr>
            </w:pPr>
            <w:r w:rsidRPr="00AB0042">
              <w:rPr>
                <w:color w:val="404040" w:themeColor="text1" w:themeTint="BF"/>
                <w:sz w:val="18"/>
                <w:szCs w:val="18"/>
              </w:rPr>
              <w:t xml:space="preserve">In the </w:t>
            </w:r>
            <w:r w:rsidRPr="00AB0042">
              <w:rPr>
                <w:i/>
                <w:iCs/>
                <w:color w:val="404040" w:themeColor="text1" w:themeTint="BF"/>
                <w:sz w:val="18"/>
                <w:szCs w:val="18"/>
              </w:rPr>
              <w:t>Weaknesses</w:t>
            </w:r>
            <w:r w:rsidRPr="00AB0042">
              <w:rPr>
                <w:color w:val="404040" w:themeColor="text1" w:themeTint="BF"/>
                <w:sz w:val="18"/>
                <w:szCs w:val="18"/>
              </w:rPr>
              <w:t xml:space="preserve"> section of a marketing SWOT template, one should pinpoint and detail the internal vulnerabilities or areas </w:t>
            </w:r>
            <w:r w:rsidR="007F0C8A" w:rsidRPr="00AB0042">
              <w:rPr>
                <w:color w:val="404040" w:themeColor="text1" w:themeTint="BF"/>
                <w:sz w:val="18"/>
                <w:szCs w:val="18"/>
              </w:rPr>
              <w:t xml:space="preserve">in need of improvement </w:t>
            </w:r>
            <w:r w:rsidRPr="00AB0042">
              <w:rPr>
                <w:color w:val="404040" w:themeColor="text1" w:themeTint="BF"/>
                <w:sz w:val="18"/>
                <w:szCs w:val="18"/>
              </w:rPr>
              <w:t>that might impede the company's growth or performance in the market.</w:t>
            </w:r>
          </w:p>
        </w:tc>
      </w:tr>
      <w:tr w:rsidR="00DB1CCF" w:rsidRPr="00BC3342" w14:paraId="01D76C9A" w14:textId="77777777" w:rsidTr="00AB0042">
        <w:trPr>
          <w:trHeight w:val="3456"/>
        </w:trPr>
        <w:tc>
          <w:tcPr>
            <w:tcW w:w="5472"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hideMark/>
          </w:tcPr>
          <w:p w14:paraId="110FC855" w14:textId="77777777" w:rsidR="00DB1CCF" w:rsidRPr="00AB0042" w:rsidRDefault="00DB1CCF" w:rsidP="00DB1CCF">
            <w:pPr>
              <w:spacing w:afterLines="60" w:after="144" w:line="240" w:lineRule="auto"/>
              <w:ind w:left="158"/>
              <w:rPr>
                <w:sz w:val="18"/>
                <w:szCs w:val="18"/>
              </w:rPr>
            </w:pPr>
            <w:r w:rsidRPr="00AB0042">
              <w:rPr>
                <w:b/>
                <w:color w:val="000000"/>
                <w:sz w:val="18"/>
                <w:szCs w:val="18"/>
              </w:rPr>
              <w:t>Pioneering Technology:</w:t>
            </w:r>
            <w:r w:rsidRPr="00AB0042">
              <w:rPr>
                <w:b/>
                <w:sz w:val="18"/>
                <w:szCs w:val="18"/>
              </w:rPr>
              <w:t xml:space="preserve"> </w:t>
            </w:r>
            <w:r w:rsidRPr="00AB0042">
              <w:rPr>
                <w:color w:val="000000"/>
                <w:sz w:val="18"/>
                <w:szCs w:val="18"/>
              </w:rPr>
              <w:t>Advanced and efficient EV-charging technology that sets us apart from competitors.</w:t>
            </w:r>
          </w:p>
          <w:p w14:paraId="258526BE" w14:textId="77777777" w:rsidR="00DB1CCF" w:rsidRPr="00AB0042" w:rsidRDefault="00DB1CCF" w:rsidP="00DB1CCF">
            <w:pPr>
              <w:spacing w:afterLines="60" w:after="144" w:line="240" w:lineRule="auto"/>
              <w:ind w:left="158"/>
              <w:rPr>
                <w:sz w:val="18"/>
                <w:szCs w:val="18"/>
              </w:rPr>
            </w:pPr>
            <w:r w:rsidRPr="00AB0042">
              <w:rPr>
                <w:b/>
                <w:color w:val="000000"/>
                <w:sz w:val="18"/>
                <w:szCs w:val="18"/>
              </w:rPr>
              <w:t>Wide Network:</w:t>
            </w:r>
            <w:r w:rsidRPr="00AB0042">
              <w:rPr>
                <w:b/>
                <w:sz w:val="18"/>
                <w:szCs w:val="18"/>
              </w:rPr>
              <w:t xml:space="preserve"> </w:t>
            </w:r>
            <w:r w:rsidRPr="00AB0042">
              <w:rPr>
                <w:color w:val="000000"/>
                <w:sz w:val="18"/>
                <w:szCs w:val="18"/>
              </w:rPr>
              <w:t>An extensive network of charging stations across strategic locations.</w:t>
            </w:r>
          </w:p>
          <w:p w14:paraId="002C13E7" w14:textId="77777777" w:rsidR="00DB1CCF" w:rsidRPr="00AB0042" w:rsidRDefault="00DB1CCF" w:rsidP="00DB1CCF">
            <w:pPr>
              <w:spacing w:afterLines="60" w:after="144" w:line="240" w:lineRule="auto"/>
              <w:ind w:left="158"/>
              <w:rPr>
                <w:sz w:val="18"/>
                <w:szCs w:val="18"/>
              </w:rPr>
            </w:pPr>
            <w:r w:rsidRPr="00AB0042">
              <w:rPr>
                <w:b/>
                <w:color w:val="000000"/>
                <w:sz w:val="18"/>
                <w:szCs w:val="18"/>
              </w:rPr>
              <w:t>Eco-Friendly Initiatives:</w:t>
            </w:r>
            <w:r w:rsidRPr="00AB0042">
              <w:rPr>
                <w:b/>
                <w:sz w:val="18"/>
                <w:szCs w:val="18"/>
              </w:rPr>
              <w:t xml:space="preserve"> </w:t>
            </w:r>
            <w:r w:rsidRPr="00AB0042">
              <w:rPr>
                <w:color w:val="000000"/>
                <w:sz w:val="18"/>
                <w:szCs w:val="18"/>
              </w:rPr>
              <w:t>Commitment to sustainable practices, boosting brand image among eco-conscious consumers.</w:t>
            </w:r>
          </w:p>
          <w:p w14:paraId="36044655" w14:textId="77777777" w:rsidR="00DB1CCF" w:rsidRPr="00AB0042" w:rsidRDefault="00DB1CCF" w:rsidP="00DB1CCF">
            <w:pPr>
              <w:spacing w:afterLines="60" w:after="144" w:line="240" w:lineRule="auto"/>
              <w:ind w:left="158"/>
              <w:rPr>
                <w:sz w:val="18"/>
                <w:szCs w:val="18"/>
              </w:rPr>
            </w:pPr>
            <w:r w:rsidRPr="00AB0042">
              <w:rPr>
                <w:b/>
                <w:color w:val="000000"/>
                <w:sz w:val="18"/>
                <w:szCs w:val="18"/>
              </w:rPr>
              <w:t>User-Friendly Interface:</w:t>
            </w:r>
            <w:r w:rsidRPr="00AB0042">
              <w:rPr>
                <w:b/>
                <w:sz w:val="18"/>
                <w:szCs w:val="18"/>
              </w:rPr>
              <w:t xml:space="preserve"> </w:t>
            </w:r>
            <w:r w:rsidRPr="00AB0042">
              <w:rPr>
                <w:color w:val="000000"/>
                <w:sz w:val="18"/>
                <w:szCs w:val="18"/>
              </w:rPr>
              <w:t>Intuitive and easy-to-use mobile application for seamless charging experiences.</w:t>
            </w:r>
          </w:p>
          <w:p w14:paraId="64A68E37" w14:textId="5D0AF44F" w:rsidR="00BC3342" w:rsidRPr="00AB0042" w:rsidRDefault="00DB1CCF" w:rsidP="00DB1CCF">
            <w:pPr>
              <w:spacing w:afterLines="60" w:after="144" w:line="240" w:lineRule="auto"/>
              <w:ind w:left="158"/>
              <w:rPr>
                <w:rFonts w:eastAsia="Times New Roman" w:cs="Calibri"/>
                <w:color w:val="000000"/>
                <w:sz w:val="18"/>
                <w:szCs w:val="18"/>
              </w:rPr>
            </w:pPr>
            <w:r w:rsidRPr="00AB0042">
              <w:rPr>
                <w:b/>
                <w:color w:val="000000"/>
                <w:sz w:val="18"/>
                <w:szCs w:val="18"/>
              </w:rPr>
              <w:t>Strong Partnerships:</w:t>
            </w:r>
            <w:r w:rsidRPr="00AB0042">
              <w:rPr>
                <w:b/>
                <w:sz w:val="18"/>
                <w:szCs w:val="18"/>
              </w:rPr>
              <w:t xml:space="preserve"> </w:t>
            </w:r>
            <w:r w:rsidRPr="00AB0042">
              <w:rPr>
                <w:color w:val="000000"/>
                <w:sz w:val="18"/>
                <w:szCs w:val="18"/>
              </w:rPr>
              <w:t>Collaborations with key industry players and municipalities for better reach and accessibility.</w:t>
            </w:r>
          </w:p>
        </w:tc>
        <w:tc>
          <w:tcPr>
            <w:tcW w:w="200" w:type="dxa"/>
            <w:tcBorders>
              <w:top w:val="nil"/>
              <w:left w:val="nil"/>
              <w:bottom w:val="nil"/>
              <w:right w:val="nil"/>
            </w:tcBorders>
            <w:shd w:val="clear" w:color="000000" w:fill="FFFFFF"/>
            <w:noWrap/>
            <w:hideMark/>
          </w:tcPr>
          <w:p w14:paraId="64AAC7F8" w14:textId="77777777" w:rsidR="00BC3342" w:rsidRPr="00AB0042" w:rsidRDefault="00BC3342" w:rsidP="00DB1CCF">
            <w:pPr>
              <w:spacing w:after="0" w:line="240" w:lineRule="auto"/>
              <w:rPr>
                <w:rFonts w:eastAsia="Times New Roman" w:cs="Calibri"/>
                <w:color w:val="000000"/>
                <w:sz w:val="18"/>
                <w:szCs w:val="18"/>
              </w:rPr>
            </w:pPr>
            <w:r w:rsidRPr="00AB0042">
              <w:rPr>
                <w:rFonts w:eastAsia="Times New Roman" w:cs="Calibri"/>
                <w:color w:val="000000"/>
                <w:sz w:val="18"/>
                <w:szCs w:val="18"/>
              </w:rPr>
              <w:t> </w:t>
            </w:r>
          </w:p>
        </w:tc>
        <w:tc>
          <w:tcPr>
            <w:tcW w:w="5488"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hideMark/>
          </w:tcPr>
          <w:p w14:paraId="42C376B7" w14:textId="77777777" w:rsidR="00DB1CCF" w:rsidRPr="00AB0042" w:rsidRDefault="00DB1CCF" w:rsidP="00CE527A">
            <w:pPr>
              <w:spacing w:afterLines="60" w:after="144" w:line="240" w:lineRule="auto"/>
              <w:ind w:left="158" w:right="102"/>
              <w:rPr>
                <w:sz w:val="18"/>
                <w:szCs w:val="18"/>
              </w:rPr>
            </w:pPr>
            <w:r w:rsidRPr="00AB0042">
              <w:rPr>
                <w:b/>
                <w:sz w:val="18"/>
                <w:szCs w:val="18"/>
              </w:rPr>
              <w:t xml:space="preserve">Limited Brand Awareness: </w:t>
            </w:r>
            <w:r w:rsidRPr="00AB0042">
              <w:rPr>
                <w:sz w:val="18"/>
                <w:szCs w:val="18"/>
              </w:rPr>
              <w:t>Not yet widely recognized compared to long-standing competitors.</w:t>
            </w:r>
          </w:p>
          <w:p w14:paraId="5FAE3421" w14:textId="77777777" w:rsidR="00DB1CCF" w:rsidRPr="00AB0042" w:rsidRDefault="00DB1CCF" w:rsidP="00CE527A">
            <w:pPr>
              <w:spacing w:afterLines="60" w:after="144" w:line="240" w:lineRule="auto"/>
              <w:ind w:left="158" w:right="102"/>
              <w:rPr>
                <w:sz w:val="18"/>
                <w:szCs w:val="18"/>
              </w:rPr>
            </w:pPr>
            <w:r w:rsidRPr="00AB0042">
              <w:rPr>
                <w:b/>
                <w:sz w:val="18"/>
                <w:szCs w:val="18"/>
              </w:rPr>
              <w:t>Infrastructure Investment:</w:t>
            </w:r>
            <w:r w:rsidRPr="00AB0042">
              <w:rPr>
                <w:sz w:val="18"/>
                <w:szCs w:val="18"/>
              </w:rPr>
              <w:t xml:space="preserve"> Initial high costs associated with setting up new charging stations.</w:t>
            </w:r>
          </w:p>
          <w:p w14:paraId="3912B42D" w14:textId="77777777" w:rsidR="00DB1CCF" w:rsidRPr="00AB0042" w:rsidRDefault="00DB1CCF" w:rsidP="00CE527A">
            <w:pPr>
              <w:spacing w:afterLines="60" w:after="144" w:line="240" w:lineRule="auto"/>
              <w:ind w:left="158" w:right="102"/>
              <w:rPr>
                <w:sz w:val="18"/>
                <w:szCs w:val="18"/>
              </w:rPr>
            </w:pPr>
            <w:r w:rsidRPr="00AB0042">
              <w:rPr>
                <w:b/>
                <w:sz w:val="18"/>
                <w:szCs w:val="18"/>
              </w:rPr>
              <w:t xml:space="preserve">Dependency on Tech: </w:t>
            </w:r>
            <w:r w:rsidRPr="00AB0042">
              <w:rPr>
                <w:sz w:val="18"/>
                <w:szCs w:val="18"/>
              </w:rPr>
              <w:t>Heavy reliance on mobile app performance, potentially alienating non-tech-savvy users.</w:t>
            </w:r>
          </w:p>
          <w:p w14:paraId="1D96E230" w14:textId="77777777" w:rsidR="00DB1CCF" w:rsidRPr="00AB0042" w:rsidRDefault="00DB1CCF" w:rsidP="00CE527A">
            <w:pPr>
              <w:spacing w:afterLines="60" w:after="144" w:line="240" w:lineRule="auto"/>
              <w:ind w:left="158" w:right="102"/>
              <w:rPr>
                <w:sz w:val="18"/>
                <w:szCs w:val="18"/>
              </w:rPr>
            </w:pPr>
            <w:r w:rsidRPr="00AB0042">
              <w:rPr>
                <w:b/>
                <w:sz w:val="18"/>
                <w:szCs w:val="18"/>
              </w:rPr>
              <w:t>Regional Limitations:</w:t>
            </w:r>
            <w:r w:rsidRPr="00AB0042">
              <w:rPr>
                <w:sz w:val="18"/>
                <w:szCs w:val="18"/>
              </w:rPr>
              <w:t xml:space="preserve"> Predominant presence in urban areas, with limited stations in rural regions.</w:t>
            </w:r>
          </w:p>
          <w:p w14:paraId="06C655D4" w14:textId="1D2B7D3C" w:rsidR="00BC3342" w:rsidRPr="00AB0042" w:rsidRDefault="00DB1CCF" w:rsidP="00CE527A">
            <w:pPr>
              <w:spacing w:afterLines="60" w:after="144" w:line="240" w:lineRule="auto"/>
              <w:ind w:left="158" w:right="102"/>
              <w:rPr>
                <w:rFonts w:eastAsia="Times New Roman" w:cs="Calibri"/>
                <w:color w:val="000000"/>
                <w:sz w:val="18"/>
                <w:szCs w:val="18"/>
              </w:rPr>
            </w:pPr>
            <w:r w:rsidRPr="00AB0042">
              <w:rPr>
                <w:b/>
                <w:sz w:val="18"/>
                <w:szCs w:val="18"/>
              </w:rPr>
              <w:t xml:space="preserve">Service Speed: </w:t>
            </w:r>
            <w:r w:rsidRPr="00AB0042">
              <w:rPr>
                <w:sz w:val="18"/>
                <w:szCs w:val="18"/>
              </w:rPr>
              <w:t xml:space="preserve">Charging speeds </w:t>
            </w:r>
            <w:r w:rsidR="007F0C8A" w:rsidRPr="00AB0042">
              <w:rPr>
                <w:sz w:val="18"/>
                <w:szCs w:val="18"/>
              </w:rPr>
              <w:t xml:space="preserve">that may </w:t>
            </w:r>
            <w:r w:rsidRPr="00AB0042">
              <w:rPr>
                <w:sz w:val="18"/>
                <w:szCs w:val="18"/>
              </w:rPr>
              <w:t xml:space="preserve">not be competitive with the fast-charging solutions </w:t>
            </w:r>
            <w:r w:rsidR="00E93CBE" w:rsidRPr="00AB0042">
              <w:rPr>
                <w:sz w:val="18"/>
                <w:szCs w:val="18"/>
              </w:rPr>
              <w:t xml:space="preserve">currently </w:t>
            </w:r>
            <w:r w:rsidRPr="00AB0042">
              <w:rPr>
                <w:sz w:val="18"/>
                <w:szCs w:val="18"/>
              </w:rPr>
              <w:t>on the market.</w:t>
            </w:r>
          </w:p>
        </w:tc>
      </w:tr>
      <w:tr w:rsidR="00BC3342" w:rsidRPr="00BC3342" w14:paraId="4736BB30" w14:textId="77777777" w:rsidTr="00AB0042">
        <w:trPr>
          <w:trHeight w:val="432"/>
        </w:trPr>
        <w:tc>
          <w:tcPr>
            <w:tcW w:w="11160" w:type="dxa"/>
            <w:gridSpan w:val="3"/>
            <w:tcBorders>
              <w:top w:val="nil"/>
              <w:left w:val="nil"/>
              <w:bottom w:val="nil"/>
              <w:right w:val="nil"/>
            </w:tcBorders>
            <w:shd w:val="clear" w:color="000000" w:fill="FFFFFF"/>
            <w:noWrap/>
            <w:tcMar>
              <w:top w:w="115" w:type="dxa"/>
            </w:tcMar>
            <w:vAlign w:val="bottom"/>
            <w:hideMark/>
          </w:tcPr>
          <w:p w14:paraId="6563F83A" w14:textId="77777777" w:rsidR="00BC3342" w:rsidRPr="00BC3342" w:rsidRDefault="00BC3342" w:rsidP="00AB0042">
            <w:pPr>
              <w:spacing w:after="0" w:line="240" w:lineRule="auto"/>
              <w:jc w:val="center"/>
              <w:rPr>
                <w:rFonts w:eastAsia="Times New Roman" w:cs="Calibri"/>
                <w:color w:val="595959"/>
                <w:sz w:val="40"/>
                <w:szCs w:val="40"/>
              </w:rPr>
            </w:pPr>
            <w:r w:rsidRPr="00BC3342">
              <w:rPr>
                <w:rFonts w:eastAsia="Times New Roman" w:cs="Calibri"/>
                <w:color w:val="595959"/>
                <w:sz w:val="40"/>
                <w:szCs w:val="40"/>
              </w:rPr>
              <w:t>EXTERNAL FACTORS</w:t>
            </w:r>
          </w:p>
        </w:tc>
      </w:tr>
      <w:tr w:rsidR="00BC3342" w:rsidRPr="00BC3342" w14:paraId="4CABA17A" w14:textId="77777777" w:rsidTr="00DB1CCF">
        <w:trPr>
          <w:trHeight w:val="576"/>
        </w:trPr>
        <w:tc>
          <w:tcPr>
            <w:tcW w:w="5472" w:type="dxa"/>
            <w:tcBorders>
              <w:top w:val="single" w:sz="4" w:space="0" w:color="BFBFBF"/>
              <w:left w:val="single" w:sz="4" w:space="0" w:color="BFBFBF"/>
              <w:bottom w:val="nil"/>
              <w:right w:val="single" w:sz="4" w:space="0" w:color="BFBFBF"/>
            </w:tcBorders>
            <w:shd w:val="clear" w:color="000000" w:fill="D1EDF2"/>
            <w:noWrap/>
            <w:vAlign w:val="center"/>
            <w:hideMark/>
          </w:tcPr>
          <w:p w14:paraId="19B7EC6B" w14:textId="391747DB" w:rsidR="00BC3342" w:rsidRPr="00BC3342" w:rsidRDefault="00BC3342" w:rsidP="00BC3342">
            <w:pPr>
              <w:spacing w:after="0" w:line="240" w:lineRule="auto"/>
              <w:jc w:val="center"/>
              <w:rPr>
                <w:rFonts w:eastAsia="Times New Roman" w:cs="Calibri"/>
                <w:color w:val="000000"/>
                <w:sz w:val="36"/>
                <w:szCs w:val="36"/>
              </w:rPr>
            </w:pPr>
            <w:r w:rsidRPr="00BC3342">
              <w:rPr>
                <w:rFonts w:eastAsia="Times New Roman" w:cs="Calibri"/>
                <w:color w:val="000000"/>
                <w:sz w:val="36"/>
                <w:szCs w:val="36"/>
              </w:rPr>
              <w:t>OPPORTUNITIES</w:t>
            </w:r>
            <w:r w:rsidR="00DB1CCF" w:rsidRPr="00BC3342">
              <w:rPr>
                <w:rFonts w:eastAsia="Times New Roman" w:cs="Calibri"/>
                <w:color w:val="000000"/>
                <w:sz w:val="60"/>
                <w:szCs w:val="60"/>
              </w:rPr>
              <w:t xml:space="preserve"> </w:t>
            </w:r>
            <w:r w:rsidRPr="00BC3342">
              <w:rPr>
                <w:rFonts w:eastAsia="Times New Roman" w:cs="Calibri"/>
                <w:color w:val="000000"/>
                <w:sz w:val="36"/>
                <w:szCs w:val="36"/>
              </w:rPr>
              <w:t>+</w:t>
            </w:r>
          </w:p>
        </w:tc>
        <w:tc>
          <w:tcPr>
            <w:tcW w:w="200" w:type="dxa"/>
            <w:tcBorders>
              <w:top w:val="nil"/>
              <w:left w:val="nil"/>
              <w:bottom w:val="nil"/>
              <w:right w:val="nil"/>
            </w:tcBorders>
            <w:shd w:val="clear" w:color="000000" w:fill="FFFFFF"/>
            <w:noWrap/>
            <w:hideMark/>
          </w:tcPr>
          <w:p w14:paraId="3FF57F64" w14:textId="77777777" w:rsidR="00BC3342" w:rsidRPr="00BC3342" w:rsidRDefault="00BC3342" w:rsidP="00BC3342">
            <w:pPr>
              <w:spacing w:after="0" w:line="240" w:lineRule="auto"/>
              <w:rPr>
                <w:rFonts w:eastAsia="Times New Roman" w:cs="Calibri"/>
                <w:color w:val="000000"/>
                <w:sz w:val="36"/>
                <w:szCs w:val="36"/>
              </w:rPr>
            </w:pPr>
            <w:r w:rsidRPr="00BC3342">
              <w:rPr>
                <w:rFonts w:eastAsia="Times New Roman" w:cs="Calibri"/>
                <w:color w:val="000000"/>
                <w:sz w:val="36"/>
                <w:szCs w:val="36"/>
              </w:rPr>
              <w:t> </w:t>
            </w:r>
          </w:p>
        </w:tc>
        <w:tc>
          <w:tcPr>
            <w:tcW w:w="5488" w:type="dxa"/>
            <w:tcBorders>
              <w:top w:val="single" w:sz="4" w:space="0" w:color="BFBFBF"/>
              <w:left w:val="single" w:sz="4" w:space="0" w:color="BFBFBF"/>
              <w:bottom w:val="nil"/>
              <w:right w:val="single" w:sz="4" w:space="0" w:color="BFBFBF"/>
            </w:tcBorders>
            <w:shd w:val="clear" w:color="000000" w:fill="BCCDE0"/>
            <w:noWrap/>
            <w:vAlign w:val="center"/>
            <w:hideMark/>
          </w:tcPr>
          <w:p w14:paraId="4824F3D9" w14:textId="368EDEE7" w:rsidR="00BC3342" w:rsidRPr="00BC3342" w:rsidRDefault="00BC3342" w:rsidP="00BC3342">
            <w:pPr>
              <w:spacing w:after="0" w:line="240" w:lineRule="auto"/>
              <w:jc w:val="center"/>
              <w:rPr>
                <w:rFonts w:eastAsia="Times New Roman" w:cs="Calibri"/>
                <w:color w:val="000000"/>
                <w:sz w:val="36"/>
                <w:szCs w:val="36"/>
              </w:rPr>
            </w:pPr>
            <w:r w:rsidRPr="00BC3342">
              <w:rPr>
                <w:rFonts w:eastAsia="Times New Roman" w:cs="Calibri"/>
                <w:color w:val="000000"/>
                <w:sz w:val="36"/>
                <w:szCs w:val="36"/>
              </w:rPr>
              <w:t>THREATS</w:t>
            </w:r>
            <w:r w:rsidR="00DB1CCF" w:rsidRPr="00BC3342">
              <w:rPr>
                <w:rFonts w:eastAsia="Times New Roman" w:cs="Calibri"/>
                <w:color w:val="000000"/>
                <w:sz w:val="60"/>
                <w:szCs w:val="60"/>
              </w:rPr>
              <w:t xml:space="preserve"> </w:t>
            </w:r>
            <w:r w:rsidRPr="00BC3342">
              <w:rPr>
                <w:rFonts w:eastAsia="Times New Roman" w:cs="Calibri"/>
                <w:color w:val="000000"/>
                <w:sz w:val="36"/>
                <w:szCs w:val="36"/>
              </w:rPr>
              <w:t>–</w:t>
            </w:r>
          </w:p>
        </w:tc>
      </w:tr>
      <w:tr w:rsidR="00BC3342" w:rsidRPr="00BC3342" w14:paraId="00728755" w14:textId="77777777" w:rsidTr="00AB0042">
        <w:trPr>
          <w:trHeight w:val="1224"/>
        </w:trPr>
        <w:tc>
          <w:tcPr>
            <w:tcW w:w="5472" w:type="dxa"/>
            <w:tcBorders>
              <w:top w:val="nil"/>
              <w:left w:val="single" w:sz="4" w:space="0" w:color="BFBFBF"/>
              <w:bottom w:val="nil"/>
              <w:right w:val="single" w:sz="4" w:space="0" w:color="BFBFBF"/>
            </w:tcBorders>
            <w:shd w:val="clear" w:color="000000" w:fill="EDFBFC"/>
            <w:tcMar>
              <w:top w:w="144" w:type="dxa"/>
              <w:left w:w="115" w:type="dxa"/>
              <w:right w:w="72" w:type="dxa"/>
            </w:tcMar>
            <w:hideMark/>
          </w:tcPr>
          <w:p w14:paraId="6F5E9065" w14:textId="7216DC4C" w:rsidR="00BC3342" w:rsidRPr="00AB0042" w:rsidRDefault="00CE527A" w:rsidP="00CE527A">
            <w:pPr>
              <w:spacing w:line="276" w:lineRule="auto"/>
              <w:rPr>
                <w:color w:val="666666"/>
                <w:sz w:val="18"/>
                <w:szCs w:val="18"/>
              </w:rPr>
            </w:pPr>
            <w:r w:rsidRPr="00AB0042">
              <w:rPr>
                <w:color w:val="262626" w:themeColor="text1" w:themeTint="D9"/>
                <w:sz w:val="18"/>
                <w:szCs w:val="18"/>
              </w:rPr>
              <w:t xml:space="preserve">In the </w:t>
            </w:r>
            <w:r w:rsidRPr="00AB0042">
              <w:rPr>
                <w:i/>
                <w:iCs/>
                <w:color w:val="262626" w:themeColor="text1" w:themeTint="D9"/>
                <w:sz w:val="18"/>
                <w:szCs w:val="18"/>
              </w:rPr>
              <w:t>Opportunities</w:t>
            </w:r>
            <w:r w:rsidRPr="00AB0042">
              <w:rPr>
                <w:color w:val="262626" w:themeColor="text1" w:themeTint="D9"/>
                <w:sz w:val="18"/>
                <w:szCs w:val="18"/>
              </w:rPr>
              <w:t xml:space="preserve"> section of a marketing SWOT template, one should identify external factors or trends that the company can capitalize on for growth, market expansion, or increased revenue.</w:t>
            </w:r>
          </w:p>
        </w:tc>
        <w:tc>
          <w:tcPr>
            <w:tcW w:w="200" w:type="dxa"/>
            <w:tcBorders>
              <w:top w:val="nil"/>
              <w:left w:val="nil"/>
              <w:bottom w:val="nil"/>
              <w:right w:val="nil"/>
            </w:tcBorders>
            <w:shd w:val="clear" w:color="000000" w:fill="FFFFFF"/>
            <w:noWrap/>
            <w:tcMar>
              <w:top w:w="144" w:type="dxa"/>
              <w:left w:w="115" w:type="dxa"/>
              <w:right w:w="72" w:type="dxa"/>
            </w:tcMar>
            <w:hideMark/>
          </w:tcPr>
          <w:p w14:paraId="19D6730C" w14:textId="77777777" w:rsidR="00BC3342" w:rsidRPr="00AB0042" w:rsidRDefault="00BC3342" w:rsidP="00BC3342">
            <w:pPr>
              <w:spacing w:after="0" w:line="240" w:lineRule="auto"/>
              <w:rPr>
                <w:rFonts w:eastAsia="Times New Roman" w:cs="Calibri"/>
                <w:color w:val="000000"/>
                <w:sz w:val="18"/>
                <w:szCs w:val="18"/>
              </w:rPr>
            </w:pPr>
            <w:r w:rsidRPr="00AB0042">
              <w:rPr>
                <w:rFonts w:eastAsia="Times New Roman" w:cs="Calibri"/>
                <w:color w:val="000000"/>
                <w:sz w:val="18"/>
                <w:szCs w:val="18"/>
              </w:rPr>
              <w:t> </w:t>
            </w:r>
          </w:p>
        </w:tc>
        <w:tc>
          <w:tcPr>
            <w:tcW w:w="5488" w:type="dxa"/>
            <w:tcBorders>
              <w:top w:val="nil"/>
              <w:left w:val="single" w:sz="4" w:space="0" w:color="BFBFBF"/>
              <w:bottom w:val="nil"/>
              <w:right w:val="single" w:sz="4" w:space="0" w:color="BFBFBF"/>
            </w:tcBorders>
            <w:shd w:val="clear" w:color="000000" w:fill="F1F4FB"/>
            <w:tcMar>
              <w:top w:w="144" w:type="dxa"/>
              <w:left w:w="115" w:type="dxa"/>
              <w:right w:w="72" w:type="dxa"/>
            </w:tcMar>
            <w:hideMark/>
          </w:tcPr>
          <w:p w14:paraId="53084CAE" w14:textId="7B871FE9" w:rsidR="00BC3342" w:rsidRPr="00AB0042" w:rsidRDefault="00DC07F1" w:rsidP="00DC07F1">
            <w:pPr>
              <w:spacing w:line="276" w:lineRule="auto"/>
              <w:rPr>
                <w:color w:val="262626" w:themeColor="text1" w:themeTint="D9"/>
                <w:sz w:val="18"/>
                <w:szCs w:val="18"/>
              </w:rPr>
            </w:pPr>
            <w:r w:rsidRPr="00AB0042">
              <w:rPr>
                <w:color w:val="262626" w:themeColor="text1" w:themeTint="D9"/>
                <w:sz w:val="18"/>
                <w:szCs w:val="18"/>
              </w:rPr>
              <w:t xml:space="preserve">In the </w:t>
            </w:r>
            <w:r w:rsidRPr="00AB0042">
              <w:rPr>
                <w:i/>
                <w:iCs/>
                <w:color w:val="262626" w:themeColor="text1" w:themeTint="D9"/>
                <w:sz w:val="18"/>
                <w:szCs w:val="18"/>
              </w:rPr>
              <w:t>Threats</w:t>
            </w:r>
            <w:r w:rsidRPr="00AB0042">
              <w:rPr>
                <w:color w:val="262626" w:themeColor="text1" w:themeTint="D9"/>
                <w:sz w:val="18"/>
                <w:szCs w:val="18"/>
              </w:rPr>
              <w:t xml:space="preserve"> section of a marketing SWOT template, one should list external challenges, risks, or barriers that might prevent the company from achieving its goals or </w:t>
            </w:r>
            <w:r w:rsidR="00E93CBE" w:rsidRPr="00AB0042">
              <w:rPr>
                <w:color w:val="262626" w:themeColor="text1" w:themeTint="D9"/>
                <w:sz w:val="18"/>
                <w:szCs w:val="18"/>
              </w:rPr>
              <w:t xml:space="preserve">might </w:t>
            </w:r>
            <w:r w:rsidRPr="00AB0042">
              <w:rPr>
                <w:color w:val="262626" w:themeColor="text1" w:themeTint="D9"/>
                <w:sz w:val="18"/>
                <w:szCs w:val="18"/>
              </w:rPr>
              <w:t xml:space="preserve">adversely affect </w:t>
            </w:r>
            <w:r w:rsidR="003A1902" w:rsidRPr="00AB0042">
              <w:rPr>
                <w:color w:val="262626" w:themeColor="text1" w:themeTint="D9"/>
                <w:sz w:val="18"/>
                <w:szCs w:val="18"/>
              </w:rPr>
              <w:t>the firm’s</w:t>
            </w:r>
            <w:r w:rsidRPr="00AB0042">
              <w:rPr>
                <w:color w:val="262626" w:themeColor="text1" w:themeTint="D9"/>
                <w:sz w:val="18"/>
                <w:szCs w:val="18"/>
              </w:rPr>
              <w:t xml:space="preserve"> operations.</w:t>
            </w:r>
          </w:p>
        </w:tc>
      </w:tr>
      <w:tr w:rsidR="00BC3342" w:rsidRPr="00BC3342" w14:paraId="5C5EE009" w14:textId="77777777" w:rsidTr="00AB0042">
        <w:trPr>
          <w:trHeight w:val="3744"/>
        </w:trPr>
        <w:tc>
          <w:tcPr>
            <w:tcW w:w="5472"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hideMark/>
          </w:tcPr>
          <w:p w14:paraId="5D78EEBA" w14:textId="3FC7DA60" w:rsidR="00DC07F1" w:rsidRPr="00AB0042" w:rsidRDefault="00DC07F1" w:rsidP="00DC07F1">
            <w:pPr>
              <w:spacing w:afterLines="60" w:after="144" w:line="240" w:lineRule="auto"/>
              <w:ind w:left="158" w:right="72"/>
              <w:rPr>
                <w:sz w:val="18"/>
                <w:szCs w:val="18"/>
              </w:rPr>
            </w:pPr>
            <w:r w:rsidRPr="00AB0042">
              <w:rPr>
                <w:b/>
                <w:sz w:val="18"/>
                <w:szCs w:val="18"/>
              </w:rPr>
              <w:t xml:space="preserve">Rising Demand: </w:t>
            </w:r>
            <w:r w:rsidRPr="00AB0042">
              <w:rPr>
                <w:sz w:val="18"/>
                <w:szCs w:val="18"/>
              </w:rPr>
              <w:t>The global shift toward EVs signifies a growing demand for charging infrastructure.</w:t>
            </w:r>
          </w:p>
          <w:p w14:paraId="036B4BF6" w14:textId="77777777" w:rsidR="00DC07F1" w:rsidRPr="00AB0042" w:rsidRDefault="00DC07F1" w:rsidP="00DC07F1">
            <w:pPr>
              <w:spacing w:afterLines="60" w:after="144" w:line="240" w:lineRule="auto"/>
              <w:ind w:left="158" w:right="72"/>
              <w:rPr>
                <w:sz w:val="18"/>
                <w:szCs w:val="18"/>
              </w:rPr>
            </w:pPr>
            <w:r w:rsidRPr="00AB0042">
              <w:rPr>
                <w:b/>
                <w:sz w:val="18"/>
                <w:szCs w:val="18"/>
              </w:rPr>
              <w:t>Partnerships:</w:t>
            </w:r>
            <w:r w:rsidRPr="00AB0042">
              <w:rPr>
                <w:sz w:val="18"/>
                <w:szCs w:val="18"/>
              </w:rPr>
              <w:t xml:space="preserve"> Potential collaborations with businesses (like malls or restaurants) to install charging stations, offering mutual benefits.</w:t>
            </w:r>
          </w:p>
          <w:p w14:paraId="464DCF8B" w14:textId="77777777" w:rsidR="00DC07F1" w:rsidRPr="00AB0042" w:rsidRDefault="00DC07F1" w:rsidP="00DC07F1">
            <w:pPr>
              <w:spacing w:afterLines="60" w:after="144" w:line="240" w:lineRule="auto"/>
              <w:ind w:left="158" w:right="72"/>
              <w:rPr>
                <w:sz w:val="18"/>
                <w:szCs w:val="18"/>
              </w:rPr>
            </w:pPr>
            <w:r w:rsidRPr="00AB0042">
              <w:rPr>
                <w:b/>
                <w:sz w:val="18"/>
                <w:szCs w:val="18"/>
              </w:rPr>
              <w:t>Innovation:</w:t>
            </w:r>
            <w:r w:rsidRPr="00AB0042">
              <w:rPr>
                <w:sz w:val="18"/>
                <w:szCs w:val="18"/>
              </w:rPr>
              <w:t xml:space="preserve"> Development of faster charging technologies or green charging solutions powered by renewable energy.</w:t>
            </w:r>
          </w:p>
          <w:p w14:paraId="321FE3A9" w14:textId="451ED0A9" w:rsidR="00DC07F1" w:rsidRPr="00AB0042" w:rsidRDefault="00DC07F1" w:rsidP="00DC07F1">
            <w:pPr>
              <w:spacing w:afterLines="60" w:after="144" w:line="240" w:lineRule="auto"/>
              <w:ind w:left="158" w:right="72"/>
              <w:rPr>
                <w:sz w:val="18"/>
                <w:szCs w:val="18"/>
              </w:rPr>
            </w:pPr>
            <w:r w:rsidRPr="00AB0042">
              <w:rPr>
                <w:b/>
                <w:sz w:val="18"/>
                <w:szCs w:val="18"/>
              </w:rPr>
              <w:t>Expansion:</w:t>
            </w:r>
            <w:r w:rsidRPr="00AB0042">
              <w:rPr>
                <w:sz w:val="18"/>
                <w:szCs w:val="18"/>
              </w:rPr>
              <w:t xml:space="preserve"> Penetrating underserved markets or regions with limited EV</w:t>
            </w:r>
            <w:r w:rsidR="00E93CBE" w:rsidRPr="00AB0042">
              <w:rPr>
                <w:sz w:val="18"/>
                <w:szCs w:val="18"/>
              </w:rPr>
              <w:t>-</w:t>
            </w:r>
            <w:r w:rsidRPr="00AB0042">
              <w:rPr>
                <w:sz w:val="18"/>
                <w:szCs w:val="18"/>
              </w:rPr>
              <w:t>charging options.</w:t>
            </w:r>
          </w:p>
          <w:p w14:paraId="44BE6C5E" w14:textId="0C6D8DE9" w:rsidR="00BC3342" w:rsidRPr="00AB0042" w:rsidRDefault="00DC07F1" w:rsidP="00DC07F1">
            <w:pPr>
              <w:spacing w:afterLines="60" w:after="144" w:line="240" w:lineRule="auto"/>
              <w:ind w:left="158" w:right="72"/>
              <w:rPr>
                <w:rFonts w:eastAsia="Times New Roman" w:cs="Calibri"/>
                <w:color w:val="000000"/>
                <w:sz w:val="18"/>
                <w:szCs w:val="18"/>
              </w:rPr>
            </w:pPr>
            <w:r w:rsidRPr="00AB0042">
              <w:rPr>
                <w:b/>
                <w:sz w:val="18"/>
                <w:szCs w:val="18"/>
              </w:rPr>
              <w:t>Government Incentives:</w:t>
            </w:r>
            <w:r w:rsidRPr="00AB0042">
              <w:rPr>
                <w:sz w:val="18"/>
                <w:szCs w:val="18"/>
              </w:rPr>
              <w:t xml:space="preserve"> Leveraging tax breaks or grants meant for green initiatives or infrastructure development.</w:t>
            </w:r>
          </w:p>
        </w:tc>
        <w:tc>
          <w:tcPr>
            <w:tcW w:w="200" w:type="dxa"/>
            <w:tcBorders>
              <w:top w:val="nil"/>
              <w:left w:val="nil"/>
              <w:bottom w:val="nil"/>
              <w:right w:val="nil"/>
            </w:tcBorders>
            <w:shd w:val="clear" w:color="000000" w:fill="FFFFFF"/>
            <w:noWrap/>
            <w:tcMar>
              <w:top w:w="144" w:type="dxa"/>
              <w:left w:w="115" w:type="dxa"/>
              <w:right w:w="72" w:type="dxa"/>
            </w:tcMar>
            <w:hideMark/>
          </w:tcPr>
          <w:p w14:paraId="58503D98" w14:textId="77777777" w:rsidR="00BC3342" w:rsidRPr="00AB0042" w:rsidRDefault="00BC3342" w:rsidP="00BC3342">
            <w:pPr>
              <w:spacing w:after="0" w:line="240" w:lineRule="auto"/>
              <w:rPr>
                <w:rFonts w:eastAsia="Times New Roman" w:cs="Calibri"/>
                <w:color w:val="000000"/>
                <w:sz w:val="18"/>
                <w:szCs w:val="18"/>
              </w:rPr>
            </w:pPr>
            <w:r w:rsidRPr="00AB0042">
              <w:rPr>
                <w:rFonts w:eastAsia="Times New Roman" w:cs="Calibri"/>
                <w:color w:val="000000"/>
                <w:sz w:val="18"/>
                <w:szCs w:val="18"/>
              </w:rPr>
              <w:t> </w:t>
            </w:r>
          </w:p>
        </w:tc>
        <w:tc>
          <w:tcPr>
            <w:tcW w:w="5488"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hideMark/>
          </w:tcPr>
          <w:p w14:paraId="51F05250" w14:textId="50500526" w:rsidR="00DC07F1" w:rsidRPr="00AB0042" w:rsidRDefault="00DC07F1" w:rsidP="00DC07F1">
            <w:pPr>
              <w:spacing w:afterLines="60" w:after="144" w:line="240" w:lineRule="auto"/>
              <w:ind w:left="130" w:right="101"/>
              <w:rPr>
                <w:sz w:val="18"/>
                <w:szCs w:val="18"/>
              </w:rPr>
            </w:pPr>
            <w:r w:rsidRPr="00AB0042">
              <w:rPr>
                <w:b/>
                <w:sz w:val="18"/>
                <w:szCs w:val="18"/>
              </w:rPr>
              <w:t xml:space="preserve">Competition: </w:t>
            </w:r>
            <w:r w:rsidR="00E93CBE" w:rsidRPr="00AB0042">
              <w:rPr>
                <w:bCs/>
                <w:sz w:val="18"/>
                <w:szCs w:val="18"/>
              </w:rPr>
              <w:t>N</w:t>
            </w:r>
            <w:r w:rsidRPr="00AB0042">
              <w:rPr>
                <w:sz w:val="18"/>
                <w:szCs w:val="18"/>
              </w:rPr>
              <w:t xml:space="preserve">ew EV-charging companies or established players </w:t>
            </w:r>
            <w:r w:rsidR="00E93CBE" w:rsidRPr="00AB0042">
              <w:rPr>
                <w:sz w:val="18"/>
                <w:szCs w:val="18"/>
              </w:rPr>
              <w:t xml:space="preserve">that are </w:t>
            </w:r>
            <w:r w:rsidRPr="00AB0042">
              <w:rPr>
                <w:sz w:val="18"/>
                <w:szCs w:val="18"/>
              </w:rPr>
              <w:t>expanding their networks.</w:t>
            </w:r>
          </w:p>
          <w:p w14:paraId="0B92A1E1" w14:textId="5B234340" w:rsidR="00DC07F1" w:rsidRPr="00AB0042" w:rsidRDefault="00DC07F1" w:rsidP="00DC07F1">
            <w:pPr>
              <w:spacing w:afterLines="60" w:after="144" w:line="240" w:lineRule="auto"/>
              <w:ind w:left="130" w:right="101"/>
              <w:rPr>
                <w:sz w:val="18"/>
                <w:szCs w:val="18"/>
              </w:rPr>
            </w:pPr>
            <w:r w:rsidRPr="00AB0042">
              <w:rPr>
                <w:b/>
                <w:sz w:val="18"/>
                <w:szCs w:val="18"/>
              </w:rPr>
              <w:t xml:space="preserve">Technological Advancements: </w:t>
            </w:r>
            <w:r w:rsidRPr="00AB0042">
              <w:rPr>
                <w:sz w:val="18"/>
                <w:szCs w:val="18"/>
              </w:rPr>
              <w:t>Rapid changes in EV</w:t>
            </w:r>
            <w:r w:rsidR="00E93CBE" w:rsidRPr="00AB0042">
              <w:rPr>
                <w:sz w:val="18"/>
                <w:szCs w:val="18"/>
              </w:rPr>
              <w:t>-</w:t>
            </w:r>
            <w:r w:rsidRPr="00AB0042">
              <w:rPr>
                <w:sz w:val="18"/>
                <w:szCs w:val="18"/>
              </w:rPr>
              <w:t xml:space="preserve">charging technology </w:t>
            </w:r>
            <w:r w:rsidR="00E93CBE" w:rsidRPr="00AB0042">
              <w:rPr>
                <w:sz w:val="18"/>
                <w:szCs w:val="18"/>
              </w:rPr>
              <w:t xml:space="preserve">that </w:t>
            </w:r>
            <w:r w:rsidRPr="00AB0042">
              <w:rPr>
                <w:sz w:val="18"/>
                <w:szCs w:val="18"/>
              </w:rPr>
              <w:t>may render existing stations obsolete.</w:t>
            </w:r>
          </w:p>
          <w:p w14:paraId="1358EDE9" w14:textId="77777777" w:rsidR="00DC07F1" w:rsidRPr="00AB0042" w:rsidRDefault="00DC07F1" w:rsidP="00DC07F1">
            <w:pPr>
              <w:spacing w:afterLines="60" w:after="144" w:line="240" w:lineRule="auto"/>
              <w:ind w:left="130" w:right="101"/>
              <w:rPr>
                <w:sz w:val="18"/>
                <w:szCs w:val="18"/>
              </w:rPr>
            </w:pPr>
            <w:r w:rsidRPr="00AB0042">
              <w:rPr>
                <w:b/>
                <w:sz w:val="18"/>
                <w:szCs w:val="18"/>
              </w:rPr>
              <w:t>Regulatory Changes:</w:t>
            </w:r>
            <w:r w:rsidRPr="00AB0042">
              <w:rPr>
                <w:sz w:val="18"/>
                <w:szCs w:val="18"/>
              </w:rPr>
              <w:t xml:space="preserve"> Potential legal or regulatory constraints related to EV infrastructure or energy consumption.</w:t>
            </w:r>
          </w:p>
          <w:p w14:paraId="55ABCDD3" w14:textId="3A23C27D" w:rsidR="00DC07F1" w:rsidRPr="00AB0042" w:rsidRDefault="00DC07F1" w:rsidP="00DC07F1">
            <w:pPr>
              <w:spacing w:afterLines="60" w:after="144" w:line="240" w:lineRule="auto"/>
              <w:ind w:left="130" w:right="101"/>
              <w:rPr>
                <w:sz w:val="18"/>
                <w:szCs w:val="18"/>
              </w:rPr>
            </w:pPr>
            <w:r w:rsidRPr="00AB0042">
              <w:rPr>
                <w:b/>
                <w:sz w:val="18"/>
                <w:szCs w:val="18"/>
              </w:rPr>
              <w:t xml:space="preserve">Infrastructure Limitations: </w:t>
            </w:r>
            <w:r w:rsidRPr="00AB0042">
              <w:rPr>
                <w:sz w:val="18"/>
                <w:szCs w:val="18"/>
              </w:rPr>
              <w:t xml:space="preserve">Constraints in power grids or local infrastructure </w:t>
            </w:r>
            <w:r w:rsidR="003A1902" w:rsidRPr="00AB0042">
              <w:rPr>
                <w:sz w:val="18"/>
                <w:szCs w:val="18"/>
              </w:rPr>
              <w:t xml:space="preserve">that </w:t>
            </w:r>
            <w:r w:rsidRPr="00AB0042">
              <w:rPr>
                <w:sz w:val="18"/>
                <w:szCs w:val="18"/>
              </w:rPr>
              <w:t>could hinder expansion.</w:t>
            </w:r>
          </w:p>
          <w:p w14:paraId="1957E7A8" w14:textId="49B1EBEA" w:rsidR="00BC3342" w:rsidRPr="00AB0042" w:rsidRDefault="00DC07F1" w:rsidP="00DC07F1">
            <w:pPr>
              <w:spacing w:afterLines="60" w:after="144" w:line="240" w:lineRule="auto"/>
              <w:ind w:left="130" w:right="101"/>
              <w:rPr>
                <w:rFonts w:eastAsia="Times New Roman" w:cs="Calibri"/>
                <w:color w:val="000000"/>
                <w:sz w:val="18"/>
                <w:szCs w:val="18"/>
              </w:rPr>
            </w:pPr>
            <w:r w:rsidRPr="00AB0042">
              <w:rPr>
                <w:b/>
                <w:sz w:val="18"/>
                <w:szCs w:val="18"/>
              </w:rPr>
              <w:t xml:space="preserve">Economic Fluctuations: </w:t>
            </w:r>
            <w:r w:rsidRPr="00AB0042">
              <w:rPr>
                <w:sz w:val="18"/>
                <w:szCs w:val="18"/>
              </w:rPr>
              <w:t xml:space="preserve">Economic downturns </w:t>
            </w:r>
            <w:r w:rsidR="003A1902" w:rsidRPr="00AB0042">
              <w:rPr>
                <w:sz w:val="18"/>
                <w:szCs w:val="18"/>
              </w:rPr>
              <w:t xml:space="preserve">that </w:t>
            </w:r>
            <w:r w:rsidRPr="00AB0042">
              <w:rPr>
                <w:sz w:val="18"/>
                <w:szCs w:val="18"/>
              </w:rPr>
              <w:t>might slow the growth of the EV market, impacting charging demand.</w:t>
            </w:r>
          </w:p>
        </w:tc>
      </w:tr>
    </w:tbl>
    <w:p w14:paraId="63D5B057" w14:textId="77777777" w:rsidR="00467C27" w:rsidRDefault="00467C27">
      <w:pPr>
        <w:sectPr w:rsidR="00467C27">
          <w:headerReference w:type="default" r:id="rId9"/>
          <w:pgSz w:w="12240" w:h="15840"/>
          <w:pgMar w:top="621" w:right="576" w:bottom="576" w:left="576" w:header="0" w:footer="0" w:gutter="0"/>
          <w:cols w:space="720"/>
          <w:titlePg/>
        </w:sectPr>
      </w:pPr>
    </w:p>
    <w:p w14:paraId="4C2E5416" w14:textId="76F60400" w:rsidR="00467C27" w:rsidRPr="00467C27" w:rsidRDefault="00467C27" w:rsidP="00467C27">
      <w:pPr>
        <w:spacing w:after="0" w:line="240" w:lineRule="auto"/>
        <w:rPr>
          <w:bCs/>
          <w:color w:val="595959"/>
          <w:sz w:val="48"/>
          <w:szCs w:val="48"/>
        </w:rPr>
      </w:pPr>
      <w:r w:rsidRPr="00467C27">
        <w:rPr>
          <w:bCs/>
          <w:color w:val="595959"/>
          <w:sz w:val="48"/>
          <w:szCs w:val="48"/>
        </w:rPr>
        <w:lastRenderedPageBreak/>
        <w:t>SWOT ANALYSIS</w:t>
      </w:r>
    </w:p>
    <w:p w14:paraId="285CBC6A" w14:textId="77777777" w:rsidR="00467C27" w:rsidRPr="00BC3342" w:rsidRDefault="00467C27" w:rsidP="00467C27">
      <w:pPr>
        <w:spacing w:after="0" w:line="240" w:lineRule="auto"/>
        <w:rPr>
          <w:b/>
          <w:color w:val="595959"/>
        </w:rPr>
      </w:pPr>
    </w:p>
    <w:tbl>
      <w:tblPr>
        <w:tblW w:w="11120" w:type="dxa"/>
        <w:tblBorders>
          <w:bottom w:val="single" w:sz="2" w:space="0" w:color="D9D9D9" w:themeColor="background1" w:themeShade="D9"/>
        </w:tblBorders>
        <w:tblLook w:val="04A0" w:firstRow="1" w:lastRow="0" w:firstColumn="1" w:lastColumn="0" w:noHBand="0" w:noVBand="1"/>
      </w:tblPr>
      <w:tblGrid>
        <w:gridCol w:w="1890"/>
        <w:gridCol w:w="9230"/>
      </w:tblGrid>
      <w:tr w:rsidR="00467C27" w:rsidRPr="00BC3342" w14:paraId="2D27A70C" w14:textId="77777777" w:rsidTr="002279DA">
        <w:trPr>
          <w:trHeight w:val="576"/>
        </w:trPr>
        <w:tc>
          <w:tcPr>
            <w:tcW w:w="1890" w:type="dxa"/>
            <w:shd w:val="clear" w:color="000000" w:fill="FFFFFF"/>
            <w:noWrap/>
            <w:hideMark/>
          </w:tcPr>
          <w:p w14:paraId="08B501FB" w14:textId="77777777" w:rsidR="00467C27" w:rsidRPr="00BC3342" w:rsidRDefault="00467C27" w:rsidP="002279DA">
            <w:pPr>
              <w:spacing w:after="0" w:line="240" w:lineRule="auto"/>
              <w:rPr>
                <w:rFonts w:eastAsia="Times New Roman" w:cs="Calibri"/>
                <w:color w:val="595959"/>
              </w:rPr>
            </w:pPr>
            <w:r w:rsidRPr="00BC3342">
              <w:rPr>
                <w:rFonts w:eastAsia="Times New Roman" w:cs="Calibri"/>
                <w:color w:val="262626" w:themeColor="text1" w:themeTint="D9"/>
                <w:sz w:val="18"/>
                <w:szCs w:val="18"/>
              </w:rPr>
              <w:t xml:space="preserve">SWOT ANALYSIS CONDUCTED FOR: </w:t>
            </w:r>
          </w:p>
        </w:tc>
        <w:tc>
          <w:tcPr>
            <w:tcW w:w="9230" w:type="dxa"/>
            <w:shd w:val="clear" w:color="000000" w:fill="FFFFFF"/>
            <w:noWrap/>
            <w:hideMark/>
          </w:tcPr>
          <w:p w14:paraId="2319BB00" w14:textId="77777777" w:rsidR="00467C27" w:rsidRPr="00BC3342" w:rsidRDefault="00467C27" w:rsidP="002279DA">
            <w:pPr>
              <w:spacing w:after="0" w:line="240" w:lineRule="auto"/>
              <w:rPr>
                <w:rFonts w:eastAsia="Times New Roman" w:cs="Calibri"/>
                <w:color w:val="595959"/>
                <w:sz w:val="40"/>
                <w:szCs w:val="40"/>
              </w:rPr>
            </w:pPr>
          </w:p>
        </w:tc>
      </w:tr>
    </w:tbl>
    <w:p w14:paraId="65404C1A" w14:textId="77777777" w:rsidR="00467C27" w:rsidRPr="00AB0042" w:rsidRDefault="00467C27" w:rsidP="00467C27">
      <w:pPr>
        <w:spacing w:after="0" w:line="240" w:lineRule="auto"/>
        <w:rPr>
          <w:bCs/>
          <w:color w:val="595959"/>
          <w:sz w:val="13"/>
          <w:szCs w:val="13"/>
        </w:rPr>
      </w:pPr>
    </w:p>
    <w:tbl>
      <w:tblPr>
        <w:tblW w:w="11160" w:type="dxa"/>
        <w:tblCellMar>
          <w:left w:w="0" w:type="dxa"/>
          <w:right w:w="0" w:type="dxa"/>
        </w:tblCellMar>
        <w:tblLook w:val="04A0" w:firstRow="1" w:lastRow="0" w:firstColumn="1" w:lastColumn="0" w:noHBand="0" w:noVBand="1"/>
      </w:tblPr>
      <w:tblGrid>
        <w:gridCol w:w="5472"/>
        <w:gridCol w:w="237"/>
        <w:gridCol w:w="5488"/>
      </w:tblGrid>
      <w:tr w:rsidR="00467C27" w:rsidRPr="00BC3342" w14:paraId="1A9FD45B" w14:textId="77777777" w:rsidTr="002279DA">
        <w:trPr>
          <w:trHeight w:val="432"/>
        </w:trPr>
        <w:tc>
          <w:tcPr>
            <w:tcW w:w="11160" w:type="dxa"/>
            <w:gridSpan w:val="3"/>
            <w:tcBorders>
              <w:top w:val="nil"/>
              <w:left w:val="nil"/>
              <w:bottom w:val="nil"/>
              <w:right w:val="nil"/>
            </w:tcBorders>
            <w:shd w:val="clear" w:color="000000" w:fill="FFFFFF"/>
            <w:noWrap/>
            <w:vAlign w:val="center"/>
            <w:hideMark/>
          </w:tcPr>
          <w:p w14:paraId="6EB46BFE" w14:textId="77777777" w:rsidR="00467C27" w:rsidRPr="00BC3342" w:rsidRDefault="00467C27" w:rsidP="002279DA">
            <w:pPr>
              <w:spacing w:after="0" w:line="240" w:lineRule="auto"/>
              <w:jc w:val="center"/>
              <w:rPr>
                <w:rFonts w:eastAsia="Times New Roman" w:cs="Calibri"/>
                <w:color w:val="595959"/>
                <w:sz w:val="44"/>
                <w:szCs w:val="44"/>
              </w:rPr>
            </w:pPr>
            <w:r w:rsidRPr="00BC3342">
              <w:rPr>
                <w:rFonts w:eastAsia="Times New Roman" w:cs="Calibri"/>
                <w:color w:val="595959"/>
                <w:sz w:val="40"/>
                <w:szCs w:val="40"/>
              </w:rPr>
              <w:t>INTERNAL FACTORS</w:t>
            </w:r>
          </w:p>
        </w:tc>
      </w:tr>
      <w:tr w:rsidR="00467C27" w:rsidRPr="00BC3342" w14:paraId="5DFA0824" w14:textId="77777777" w:rsidTr="002279DA">
        <w:trPr>
          <w:trHeight w:val="576"/>
        </w:trPr>
        <w:tc>
          <w:tcPr>
            <w:tcW w:w="5472" w:type="dxa"/>
            <w:tcBorders>
              <w:top w:val="single" w:sz="4" w:space="0" w:color="BFBFBF"/>
              <w:left w:val="single" w:sz="4" w:space="0" w:color="BFBFBF"/>
              <w:bottom w:val="nil"/>
              <w:right w:val="single" w:sz="4" w:space="0" w:color="BFBFBF"/>
            </w:tcBorders>
            <w:shd w:val="clear" w:color="000000" w:fill="FBB12B"/>
            <w:noWrap/>
            <w:vAlign w:val="center"/>
            <w:hideMark/>
          </w:tcPr>
          <w:p w14:paraId="00A25BE3" w14:textId="77777777" w:rsidR="00467C27" w:rsidRPr="00BC3342" w:rsidRDefault="00467C27" w:rsidP="002279DA">
            <w:pPr>
              <w:spacing w:after="0" w:line="240" w:lineRule="auto"/>
              <w:jc w:val="center"/>
              <w:rPr>
                <w:rFonts w:eastAsia="Times New Roman" w:cs="Calibri"/>
                <w:color w:val="000000"/>
                <w:sz w:val="36"/>
                <w:szCs w:val="36"/>
              </w:rPr>
            </w:pPr>
            <w:r w:rsidRPr="00BC3342">
              <w:rPr>
                <w:rFonts w:eastAsia="Times New Roman" w:cs="Calibri"/>
                <w:color w:val="000000"/>
                <w:sz w:val="36"/>
                <w:szCs w:val="36"/>
              </w:rPr>
              <w:t>STRENGTHS</w:t>
            </w:r>
            <w:r w:rsidRPr="00BC3342">
              <w:rPr>
                <w:rFonts w:eastAsia="Times New Roman" w:cs="Calibri"/>
                <w:color w:val="000000"/>
                <w:sz w:val="60"/>
                <w:szCs w:val="60"/>
              </w:rPr>
              <w:t xml:space="preserve"> </w:t>
            </w:r>
            <w:r w:rsidRPr="00BC3342">
              <w:rPr>
                <w:rFonts w:eastAsia="Times New Roman" w:cs="Calibri"/>
                <w:color w:val="000000"/>
                <w:sz w:val="36"/>
                <w:szCs w:val="36"/>
              </w:rPr>
              <w:t>+</w:t>
            </w:r>
          </w:p>
        </w:tc>
        <w:tc>
          <w:tcPr>
            <w:tcW w:w="200" w:type="dxa"/>
            <w:tcBorders>
              <w:top w:val="nil"/>
              <w:left w:val="nil"/>
              <w:bottom w:val="nil"/>
              <w:right w:val="nil"/>
            </w:tcBorders>
            <w:shd w:val="clear" w:color="000000" w:fill="FFFFFF"/>
            <w:noWrap/>
            <w:hideMark/>
          </w:tcPr>
          <w:p w14:paraId="6FABC91C" w14:textId="77777777" w:rsidR="00467C27" w:rsidRPr="00DB1CCF" w:rsidRDefault="00467C27" w:rsidP="002279DA">
            <w:pPr>
              <w:spacing w:after="0" w:line="240" w:lineRule="auto"/>
              <w:rPr>
                <w:rFonts w:eastAsia="Times New Roman" w:cs="Calibri"/>
                <w:color w:val="000000"/>
                <w:sz w:val="36"/>
                <w:szCs w:val="36"/>
              </w:rPr>
            </w:pPr>
            <w:r w:rsidRPr="00BC3342">
              <w:rPr>
                <w:rFonts w:eastAsia="Times New Roman" w:cs="Calibri"/>
                <w:color w:val="000000"/>
                <w:sz w:val="36"/>
                <w:szCs w:val="36"/>
              </w:rPr>
              <w:t> </w:t>
            </w:r>
          </w:p>
          <w:p w14:paraId="2C4F397A" w14:textId="77777777" w:rsidR="00467C27" w:rsidRPr="00BC3342" w:rsidRDefault="00467C27" w:rsidP="002279DA">
            <w:pPr>
              <w:spacing w:after="0" w:line="240" w:lineRule="auto"/>
              <w:rPr>
                <w:rFonts w:eastAsia="Times New Roman" w:cs="Calibri"/>
                <w:color w:val="000000"/>
                <w:sz w:val="36"/>
                <w:szCs w:val="36"/>
              </w:rPr>
            </w:pPr>
          </w:p>
        </w:tc>
        <w:tc>
          <w:tcPr>
            <w:tcW w:w="5488" w:type="dxa"/>
            <w:tcBorders>
              <w:top w:val="single" w:sz="4" w:space="0" w:color="BFBFBF"/>
              <w:left w:val="single" w:sz="4" w:space="0" w:color="BFBFBF"/>
              <w:bottom w:val="nil"/>
              <w:right w:val="single" w:sz="4" w:space="0" w:color="BFBFBF"/>
            </w:tcBorders>
            <w:shd w:val="clear" w:color="000000" w:fill="FB682C"/>
            <w:noWrap/>
            <w:vAlign w:val="center"/>
            <w:hideMark/>
          </w:tcPr>
          <w:p w14:paraId="765CB789" w14:textId="77777777" w:rsidR="00467C27" w:rsidRPr="00BC3342" w:rsidRDefault="00467C27" w:rsidP="002279DA">
            <w:pPr>
              <w:spacing w:after="0" w:line="240" w:lineRule="auto"/>
              <w:jc w:val="center"/>
              <w:rPr>
                <w:rFonts w:eastAsia="Times New Roman" w:cs="Calibri"/>
                <w:color w:val="000000"/>
                <w:sz w:val="36"/>
                <w:szCs w:val="36"/>
              </w:rPr>
            </w:pPr>
            <w:r w:rsidRPr="00BC3342">
              <w:rPr>
                <w:rFonts w:eastAsia="Times New Roman" w:cs="Calibri"/>
                <w:color w:val="000000"/>
                <w:sz w:val="36"/>
                <w:szCs w:val="36"/>
              </w:rPr>
              <w:t>WEAKNESSES</w:t>
            </w:r>
            <w:r w:rsidRPr="00BC3342">
              <w:rPr>
                <w:rFonts w:eastAsia="Times New Roman" w:cs="Calibri"/>
                <w:color w:val="000000"/>
                <w:sz w:val="60"/>
                <w:szCs w:val="60"/>
              </w:rPr>
              <w:t xml:space="preserve"> </w:t>
            </w:r>
            <w:r w:rsidRPr="00BC3342">
              <w:rPr>
                <w:rFonts w:eastAsia="Times New Roman" w:cs="Calibri"/>
                <w:color w:val="000000"/>
                <w:sz w:val="36"/>
                <w:szCs w:val="36"/>
              </w:rPr>
              <w:t>–</w:t>
            </w:r>
          </w:p>
        </w:tc>
      </w:tr>
      <w:tr w:rsidR="00467C27" w:rsidRPr="00BC3342" w14:paraId="6D9CF771" w14:textId="77777777" w:rsidTr="002279DA">
        <w:trPr>
          <w:trHeight w:val="1008"/>
        </w:trPr>
        <w:tc>
          <w:tcPr>
            <w:tcW w:w="5472" w:type="dxa"/>
            <w:tcBorders>
              <w:top w:val="nil"/>
              <w:left w:val="single" w:sz="4" w:space="0" w:color="BFBFBF"/>
              <w:bottom w:val="nil"/>
              <w:right w:val="single" w:sz="4" w:space="0" w:color="BFBFBF"/>
            </w:tcBorders>
            <w:shd w:val="clear" w:color="000000" w:fill="FBF2EA"/>
            <w:tcMar>
              <w:top w:w="144" w:type="dxa"/>
              <w:left w:w="115" w:type="dxa"/>
              <w:right w:w="72" w:type="dxa"/>
            </w:tcMar>
            <w:hideMark/>
          </w:tcPr>
          <w:p w14:paraId="5C173334" w14:textId="77777777" w:rsidR="00467C27" w:rsidRPr="00AB0042" w:rsidRDefault="00467C27" w:rsidP="002279DA">
            <w:pPr>
              <w:spacing w:after="0" w:line="240" w:lineRule="auto"/>
              <w:rPr>
                <w:rFonts w:eastAsia="Times New Roman" w:cs="Calibri"/>
                <w:color w:val="262626"/>
                <w:sz w:val="18"/>
                <w:szCs w:val="18"/>
              </w:rPr>
            </w:pPr>
            <w:r w:rsidRPr="00AB0042">
              <w:rPr>
                <w:rFonts w:eastAsia="Times New Roman" w:cs="Calibri"/>
                <w:color w:val="404040" w:themeColor="text1" w:themeTint="BF"/>
                <w:sz w:val="18"/>
                <w:szCs w:val="18"/>
              </w:rPr>
              <w:t xml:space="preserve">In the </w:t>
            </w:r>
            <w:r w:rsidRPr="00AB0042">
              <w:rPr>
                <w:rFonts w:eastAsia="Times New Roman" w:cs="Calibri"/>
                <w:i/>
                <w:iCs/>
                <w:color w:val="404040" w:themeColor="text1" w:themeTint="BF"/>
                <w:sz w:val="18"/>
                <w:szCs w:val="18"/>
              </w:rPr>
              <w:t>Strengths</w:t>
            </w:r>
            <w:r w:rsidRPr="00AB0042">
              <w:rPr>
                <w:rFonts w:eastAsia="Times New Roman" w:cs="Calibri"/>
                <w:color w:val="404040" w:themeColor="text1" w:themeTint="BF"/>
                <w:sz w:val="18"/>
                <w:szCs w:val="18"/>
              </w:rPr>
              <w:t xml:space="preserve"> section of a marketing SWOT template, one should identify and list the unique advantages and core competencies of the company in the context of the market and competitors.</w:t>
            </w:r>
          </w:p>
        </w:tc>
        <w:tc>
          <w:tcPr>
            <w:tcW w:w="200" w:type="dxa"/>
            <w:tcBorders>
              <w:top w:val="nil"/>
              <w:left w:val="nil"/>
              <w:bottom w:val="nil"/>
              <w:right w:val="nil"/>
            </w:tcBorders>
            <w:shd w:val="clear" w:color="000000" w:fill="FFFFFF"/>
            <w:noWrap/>
            <w:hideMark/>
          </w:tcPr>
          <w:p w14:paraId="011441D6" w14:textId="77777777" w:rsidR="00467C27" w:rsidRPr="00AB0042" w:rsidRDefault="00467C27" w:rsidP="002279DA">
            <w:pPr>
              <w:spacing w:after="0" w:line="240" w:lineRule="auto"/>
              <w:rPr>
                <w:rFonts w:eastAsia="Times New Roman" w:cs="Calibri"/>
                <w:color w:val="000000"/>
                <w:sz w:val="18"/>
                <w:szCs w:val="18"/>
              </w:rPr>
            </w:pPr>
            <w:r w:rsidRPr="00AB0042">
              <w:rPr>
                <w:rFonts w:eastAsia="Times New Roman" w:cs="Calibri"/>
                <w:color w:val="000000"/>
                <w:sz w:val="18"/>
                <w:szCs w:val="18"/>
              </w:rPr>
              <w:t> </w:t>
            </w:r>
          </w:p>
        </w:tc>
        <w:tc>
          <w:tcPr>
            <w:tcW w:w="5488" w:type="dxa"/>
            <w:tcBorders>
              <w:top w:val="nil"/>
              <w:left w:val="single" w:sz="4" w:space="0" w:color="BFBFBF"/>
              <w:bottom w:val="nil"/>
              <w:right w:val="single" w:sz="4" w:space="0" w:color="BFBFBF"/>
            </w:tcBorders>
            <w:shd w:val="clear" w:color="000000" w:fill="FBEDE0"/>
            <w:tcMar>
              <w:top w:w="144" w:type="dxa"/>
              <w:left w:w="115" w:type="dxa"/>
              <w:right w:w="72" w:type="dxa"/>
            </w:tcMar>
            <w:hideMark/>
          </w:tcPr>
          <w:p w14:paraId="012E7075" w14:textId="77777777" w:rsidR="00467C27" w:rsidRPr="00AB0042" w:rsidRDefault="00467C27" w:rsidP="002279DA">
            <w:pPr>
              <w:spacing w:after="0" w:line="240" w:lineRule="auto"/>
              <w:rPr>
                <w:sz w:val="18"/>
                <w:szCs w:val="18"/>
              </w:rPr>
            </w:pPr>
            <w:r w:rsidRPr="00AB0042">
              <w:rPr>
                <w:color w:val="404040" w:themeColor="text1" w:themeTint="BF"/>
                <w:sz w:val="18"/>
                <w:szCs w:val="18"/>
              </w:rPr>
              <w:t xml:space="preserve">In the </w:t>
            </w:r>
            <w:r w:rsidRPr="00AB0042">
              <w:rPr>
                <w:i/>
                <w:iCs/>
                <w:color w:val="404040" w:themeColor="text1" w:themeTint="BF"/>
                <w:sz w:val="18"/>
                <w:szCs w:val="18"/>
              </w:rPr>
              <w:t>Weaknesses</w:t>
            </w:r>
            <w:r w:rsidRPr="00AB0042">
              <w:rPr>
                <w:color w:val="404040" w:themeColor="text1" w:themeTint="BF"/>
                <w:sz w:val="18"/>
                <w:szCs w:val="18"/>
              </w:rPr>
              <w:t xml:space="preserve"> section of a marketing SWOT template, one should pinpoint and detail the internal vulnerabilities or areas in need of improvement that might impede the company's growth or performance in the market.</w:t>
            </w:r>
          </w:p>
        </w:tc>
      </w:tr>
      <w:tr w:rsidR="00467C27" w:rsidRPr="00BC3342" w14:paraId="6E57FAB5" w14:textId="77777777" w:rsidTr="00467C27">
        <w:trPr>
          <w:trHeight w:val="3744"/>
        </w:trPr>
        <w:tc>
          <w:tcPr>
            <w:tcW w:w="5472"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tcPr>
          <w:p w14:paraId="39CDA592" w14:textId="77777777" w:rsidR="00467C27" w:rsidRPr="006822FD" w:rsidRDefault="00467C27" w:rsidP="002279DA">
            <w:pPr>
              <w:spacing w:afterLines="60" w:after="144" w:line="240" w:lineRule="auto"/>
              <w:ind w:left="158"/>
              <w:rPr>
                <w:rFonts w:eastAsia="Times New Roman" w:cs="Calibri"/>
                <w:color w:val="000000"/>
              </w:rPr>
            </w:pPr>
          </w:p>
        </w:tc>
        <w:tc>
          <w:tcPr>
            <w:tcW w:w="200" w:type="dxa"/>
            <w:tcBorders>
              <w:top w:val="nil"/>
              <w:left w:val="nil"/>
              <w:bottom w:val="nil"/>
              <w:right w:val="nil"/>
            </w:tcBorders>
            <w:shd w:val="clear" w:color="000000" w:fill="FFFFFF"/>
            <w:noWrap/>
          </w:tcPr>
          <w:p w14:paraId="21559268" w14:textId="77777777" w:rsidR="00467C27" w:rsidRPr="006822FD" w:rsidRDefault="00467C27" w:rsidP="002279DA">
            <w:pPr>
              <w:spacing w:after="0" w:line="240" w:lineRule="auto"/>
              <w:rPr>
                <w:rFonts w:eastAsia="Times New Roman" w:cs="Calibri"/>
                <w:color w:val="000000"/>
              </w:rPr>
            </w:pPr>
          </w:p>
        </w:tc>
        <w:tc>
          <w:tcPr>
            <w:tcW w:w="5488"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tcPr>
          <w:p w14:paraId="6ADE5461" w14:textId="77777777" w:rsidR="00467C27" w:rsidRPr="006822FD" w:rsidRDefault="00467C27" w:rsidP="002279DA">
            <w:pPr>
              <w:spacing w:afterLines="60" w:after="144" w:line="240" w:lineRule="auto"/>
              <w:ind w:left="158" w:right="102"/>
              <w:rPr>
                <w:rFonts w:eastAsia="Times New Roman" w:cs="Calibri"/>
                <w:color w:val="000000"/>
              </w:rPr>
            </w:pPr>
          </w:p>
        </w:tc>
      </w:tr>
      <w:tr w:rsidR="00467C27" w:rsidRPr="00BC3342" w14:paraId="0671FEE1" w14:textId="77777777" w:rsidTr="002279DA">
        <w:trPr>
          <w:trHeight w:val="432"/>
        </w:trPr>
        <w:tc>
          <w:tcPr>
            <w:tcW w:w="11160" w:type="dxa"/>
            <w:gridSpan w:val="3"/>
            <w:tcBorders>
              <w:top w:val="nil"/>
              <w:left w:val="nil"/>
              <w:bottom w:val="nil"/>
              <w:right w:val="nil"/>
            </w:tcBorders>
            <w:shd w:val="clear" w:color="000000" w:fill="FFFFFF"/>
            <w:noWrap/>
            <w:tcMar>
              <w:top w:w="115" w:type="dxa"/>
            </w:tcMar>
            <w:vAlign w:val="bottom"/>
            <w:hideMark/>
          </w:tcPr>
          <w:p w14:paraId="4039DA21" w14:textId="77777777" w:rsidR="00467C27" w:rsidRPr="00BC3342" w:rsidRDefault="00467C27" w:rsidP="002279DA">
            <w:pPr>
              <w:spacing w:after="0" w:line="240" w:lineRule="auto"/>
              <w:jc w:val="center"/>
              <w:rPr>
                <w:rFonts w:eastAsia="Times New Roman" w:cs="Calibri"/>
                <w:color w:val="595959"/>
                <w:sz w:val="40"/>
                <w:szCs w:val="40"/>
              </w:rPr>
            </w:pPr>
            <w:r w:rsidRPr="00BC3342">
              <w:rPr>
                <w:rFonts w:eastAsia="Times New Roman" w:cs="Calibri"/>
                <w:color w:val="595959"/>
                <w:sz w:val="40"/>
                <w:szCs w:val="40"/>
              </w:rPr>
              <w:t>EXTERNAL FACTORS</w:t>
            </w:r>
          </w:p>
        </w:tc>
      </w:tr>
      <w:tr w:rsidR="00467C27" w:rsidRPr="00BC3342" w14:paraId="21D09BF2" w14:textId="77777777" w:rsidTr="002279DA">
        <w:trPr>
          <w:trHeight w:val="576"/>
        </w:trPr>
        <w:tc>
          <w:tcPr>
            <w:tcW w:w="5472" w:type="dxa"/>
            <w:tcBorders>
              <w:top w:val="single" w:sz="4" w:space="0" w:color="BFBFBF"/>
              <w:left w:val="single" w:sz="4" w:space="0" w:color="BFBFBF"/>
              <w:bottom w:val="nil"/>
              <w:right w:val="single" w:sz="4" w:space="0" w:color="BFBFBF"/>
            </w:tcBorders>
            <w:shd w:val="clear" w:color="000000" w:fill="D1EDF2"/>
            <w:noWrap/>
            <w:vAlign w:val="center"/>
            <w:hideMark/>
          </w:tcPr>
          <w:p w14:paraId="5E4BBDE0" w14:textId="77777777" w:rsidR="00467C27" w:rsidRPr="00BC3342" w:rsidRDefault="00467C27" w:rsidP="002279DA">
            <w:pPr>
              <w:spacing w:after="0" w:line="240" w:lineRule="auto"/>
              <w:jc w:val="center"/>
              <w:rPr>
                <w:rFonts w:eastAsia="Times New Roman" w:cs="Calibri"/>
                <w:color w:val="000000"/>
                <w:sz w:val="36"/>
                <w:szCs w:val="36"/>
              </w:rPr>
            </w:pPr>
            <w:r w:rsidRPr="00BC3342">
              <w:rPr>
                <w:rFonts w:eastAsia="Times New Roman" w:cs="Calibri"/>
                <w:color w:val="000000"/>
                <w:sz w:val="36"/>
                <w:szCs w:val="36"/>
              </w:rPr>
              <w:t>OPPORTUNITIES</w:t>
            </w:r>
            <w:r w:rsidRPr="00BC3342">
              <w:rPr>
                <w:rFonts w:eastAsia="Times New Roman" w:cs="Calibri"/>
                <w:color w:val="000000"/>
                <w:sz w:val="60"/>
                <w:szCs w:val="60"/>
              </w:rPr>
              <w:t xml:space="preserve"> </w:t>
            </w:r>
            <w:r w:rsidRPr="00BC3342">
              <w:rPr>
                <w:rFonts w:eastAsia="Times New Roman" w:cs="Calibri"/>
                <w:color w:val="000000"/>
                <w:sz w:val="36"/>
                <w:szCs w:val="36"/>
              </w:rPr>
              <w:t>+</w:t>
            </w:r>
          </w:p>
        </w:tc>
        <w:tc>
          <w:tcPr>
            <w:tcW w:w="200" w:type="dxa"/>
            <w:tcBorders>
              <w:top w:val="nil"/>
              <w:left w:val="nil"/>
              <w:bottom w:val="nil"/>
              <w:right w:val="nil"/>
            </w:tcBorders>
            <w:shd w:val="clear" w:color="000000" w:fill="FFFFFF"/>
            <w:noWrap/>
            <w:hideMark/>
          </w:tcPr>
          <w:p w14:paraId="1AC026CD" w14:textId="77777777" w:rsidR="00467C27" w:rsidRPr="00BC3342" w:rsidRDefault="00467C27" w:rsidP="002279DA">
            <w:pPr>
              <w:spacing w:after="0" w:line="240" w:lineRule="auto"/>
              <w:rPr>
                <w:rFonts w:eastAsia="Times New Roman" w:cs="Calibri"/>
                <w:color w:val="000000"/>
                <w:sz w:val="36"/>
                <w:szCs w:val="36"/>
              </w:rPr>
            </w:pPr>
            <w:r w:rsidRPr="00BC3342">
              <w:rPr>
                <w:rFonts w:eastAsia="Times New Roman" w:cs="Calibri"/>
                <w:color w:val="000000"/>
                <w:sz w:val="36"/>
                <w:szCs w:val="36"/>
              </w:rPr>
              <w:t> </w:t>
            </w:r>
          </w:p>
        </w:tc>
        <w:tc>
          <w:tcPr>
            <w:tcW w:w="5488" w:type="dxa"/>
            <w:tcBorders>
              <w:top w:val="single" w:sz="4" w:space="0" w:color="BFBFBF"/>
              <w:left w:val="single" w:sz="4" w:space="0" w:color="BFBFBF"/>
              <w:bottom w:val="nil"/>
              <w:right w:val="single" w:sz="4" w:space="0" w:color="BFBFBF"/>
            </w:tcBorders>
            <w:shd w:val="clear" w:color="000000" w:fill="BCCDE0"/>
            <w:noWrap/>
            <w:vAlign w:val="center"/>
            <w:hideMark/>
          </w:tcPr>
          <w:p w14:paraId="589D3394" w14:textId="77777777" w:rsidR="00467C27" w:rsidRPr="00BC3342" w:rsidRDefault="00467C27" w:rsidP="002279DA">
            <w:pPr>
              <w:spacing w:after="0" w:line="240" w:lineRule="auto"/>
              <w:jc w:val="center"/>
              <w:rPr>
                <w:rFonts w:eastAsia="Times New Roman" w:cs="Calibri"/>
                <w:color w:val="000000"/>
                <w:sz w:val="36"/>
                <w:szCs w:val="36"/>
              </w:rPr>
            </w:pPr>
            <w:r w:rsidRPr="00BC3342">
              <w:rPr>
                <w:rFonts w:eastAsia="Times New Roman" w:cs="Calibri"/>
                <w:color w:val="000000"/>
                <w:sz w:val="36"/>
                <w:szCs w:val="36"/>
              </w:rPr>
              <w:t>THREATS</w:t>
            </w:r>
            <w:r w:rsidRPr="00BC3342">
              <w:rPr>
                <w:rFonts w:eastAsia="Times New Roman" w:cs="Calibri"/>
                <w:color w:val="000000"/>
                <w:sz w:val="60"/>
                <w:szCs w:val="60"/>
              </w:rPr>
              <w:t xml:space="preserve"> </w:t>
            </w:r>
            <w:r w:rsidRPr="00BC3342">
              <w:rPr>
                <w:rFonts w:eastAsia="Times New Roman" w:cs="Calibri"/>
                <w:color w:val="000000"/>
                <w:sz w:val="36"/>
                <w:szCs w:val="36"/>
              </w:rPr>
              <w:t>–</w:t>
            </w:r>
          </w:p>
        </w:tc>
      </w:tr>
      <w:tr w:rsidR="00467C27" w:rsidRPr="00BC3342" w14:paraId="69AED812" w14:textId="77777777" w:rsidTr="002279DA">
        <w:trPr>
          <w:trHeight w:val="1224"/>
        </w:trPr>
        <w:tc>
          <w:tcPr>
            <w:tcW w:w="5472" w:type="dxa"/>
            <w:tcBorders>
              <w:top w:val="nil"/>
              <w:left w:val="single" w:sz="4" w:space="0" w:color="BFBFBF"/>
              <w:bottom w:val="nil"/>
              <w:right w:val="single" w:sz="4" w:space="0" w:color="BFBFBF"/>
            </w:tcBorders>
            <w:shd w:val="clear" w:color="000000" w:fill="EDFBFC"/>
            <w:tcMar>
              <w:top w:w="144" w:type="dxa"/>
              <w:left w:w="115" w:type="dxa"/>
              <w:right w:w="72" w:type="dxa"/>
            </w:tcMar>
            <w:hideMark/>
          </w:tcPr>
          <w:p w14:paraId="5AFB4AF6" w14:textId="77777777" w:rsidR="00467C27" w:rsidRPr="00AB0042" w:rsidRDefault="00467C27" w:rsidP="002279DA">
            <w:pPr>
              <w:spacing w:line="276" w:lineRule="auto"/>
              <w:rPr>
                <w:color w:val="666666"/>
                <w:sz w:val="18"/>
                <w:szCs w:val="18"/>
              </w:rPr>
            </w:pPr>
            <w:r w:rsidRPr="00AB0042">
              <w:rPr>
                <w:color w:val="262626" w:themeColor="text1" w:themeTint="D9"/>
                <w:sz w:val="18"/>
                <w:szCs w:val="18"/>
              </w:rPr>
              <w:t xml:space="preserve">In the </w:t>
            </w:r>
            <w:r w:rsidRPr="00AB0042">
              <w:rPr>
                <w:i/>
                <w:iCs/>
                <w:color w:val="262626" w:themeColor="text1" w:themeTint="D9"/>
                <w:sz w:val="18"/>
                <w:szCs w:val="18"/>
              </w:rPr>
              <w:t>Opportunities</w:t>
            </w:r>
            <w:r w:rsidRPr="00AB0042">
              <w:rPr>
                <w:color w:val="262626" w:themeColor="text1" w:themeTint="D9"/>
                <w:sz w:val="18"/>
                <w:szCs w:val="18"/>
              </w:rPr>
              <w:t xml:space="preserve"> section of a marketing SWOT template, one should identify external factors or trends that the company can capitalize on for growth, market expansion, or increased revenue.</w:t>
            </w:r>
          </w:p>
        </w:tc>
        <w:tc>
          <w:tcPr>
            <w:tcW w:w="200" w:type="dxa"/>
            <w:tcBorders>
              <w:top w:val="nil"/>
              <w:left w:val="nil"/>
              <w:bottom w:val="nil"/>
              <w:right w:val="nil"/>
            </w:tcBorders>
            <w:shd w:val="clear" w:color="000000" w:fill="FFFFFF"/>
            <w:noWrap/>
            <w:tcMar>
              <w:top w:w="144" w:type="dxa"/>
              <w:left w:w="115" w:type="dxa"/>
              <w:right w:w="72" w:type="dxa"/>
            </w:tcMar>
            <w:hideMark/>
          </w:tcPr>
          <w:p w14:paraId="7577941C" w14:textId="77777777" w:rsidR="00467C27" w:rsidRPr="00AB0042" w:rsidRDefault="00467C27" w:rsidP="002279DA">
            <w:pPr>
              <w:spacing w:after="0" w:line="240" w:lineRule="auto"/>
              <w:rPr>
                <w:rFonts w:eastAsia="Times New Roman" w:cs="Calibri"/>
                <w:color w:val="000000"/>
                <w:sz w:val="18"/>
                <w:szCs w:val="18"/>
              </w:rPr>
            </w:pPr>
            <w:r w:rsidRPr="00AB0042">
              <w:rPr>
                <w:rFonts w:eastAsia="Times New Roman" w:cs="Calibri"/>
                <w:color w:val="000000"/>
                <w:sz w:val="18"/>
                <w:szCs w:val="18"/>
              </w:rPr>
              <w:t> </w:t>
            </w:r>
          </w:p>
        </w:tc>
        <w:tc>
          <w:tcPr>
            <w:tcW w:w="5488" w:type="dxa"/>
            <w:tcBorders>
              <w:top w:val="nil"/>
              <w:left w:val="single" w:sz="4" w:space="0" w:color="BFBFBF"/>
              <w:bottom w:val="nil"/>
              <w:right w:val="single" w:sz="4" w:space="0" w:color="BFBFBF"/>
            </w:tcBorders>
            <w:shd w:val="clear" w:color="000000" w:fill="F1F4FB"/>
            <w:tcMar>
              <w:top w:w="144" w:type="dxa"/>
              <w:left w:w="115" w:type="dxa"/>
              <w:right w:w="72" w:type="dxa"/>
            </w:tcMar>
            <w:hideMark/>
          </w:tcPr>
          <w:p w14:paraId="0779E0B9" w14:textId="77777777" w:rsidR="00467C27" w:rsidRPr="00AB0042" w:rsidRDefault="00467C27" w:rsidP="002279DA">
            <w:pPr>
              <w:spacing w:line="276" w:lineRule="auto"/>
              <w:rPr>
                <w:color w:val="262626" w:themeColor="text1" w:themeTint="D9"/>
                <w:sz w:val="18"/>
                <w:szCs w:val="18"/>
              </w:rPr>
            </w:pPr>
            <w:r w:rsidRPr="00AB0042">
              <w:rPr>
                <w:color w:val="262626" w:themeColor="text1" w:themeTint="D9"/>
                <w:sz w:val="18"/>
                <w:szCs w:val="18"/>
              </w:rPr>
              <w:t xml:space="preserve">In the </w:t>
            </w:r>
            <w:r w:rsidRPr="00AB0042">
              <w:rPr>
                <w:i/>
                <w:iCs/>
                <w:color w:val="262626" w:themeColor="text1" w:themeTint="D9"/>
                <w:sz w:val="18"/>
                <w:szCs w:val="18"/>
              </w:rPr>
              <w:t>Threats</w:t>
            </w:r>
            <w:r w:rsidRPr="00AB0042">
              <w:rPr>
                <w:color w:val="262626" w:themeColor="text1" w:themeTint="D9"/>
                <w:sz w:val="18"/>
                <w:szCs w:val="18"/>
              </w:rPr>
              <w:t xml:space="preserve"> section of a marketing SWOT template, one should list external challenges, risks, or barriers that might prevent the company from achieving its goals or might adversely affect the firm’s operations.</w:t>
            </w:r>
          </w:p>
        </w:tc>
      </w:tr>
      <w:tr w:rsidR="00467C27" w:rsidRPr="00BC3342" w14:paraId="0146929B" w14:textId="77777777" w:rsidTr="00467C27">
        <w:trPr>
          <w:trHeight w:val="3888"/>
        </w:trPr>
        <w:tc>
          <w:tcPr>
            <w:tcW w:w="5472"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tcPr>
          <w:p w14:paraId="73A41396" w14:textId="77777777" w:rsidR="00467C27" w:rsidRPr="006822FD" w:rsidRDefault="00467C27" w:rsidP="002279DA">
            <w:pPr>
              <w:spacing w:afterLines="60" w:after="144" w:line="240" w:lineRule="auto"/>
              <w:ind w:left="158" w:right="72"/>
              <w:rPr>
                <w:rFonts w:eastAsia="Times New Roman" w:cs="Calibri"/>
                <w:color w:val="000000"/>
              </w:rPr>
            </w:pPr>
          </w:p>
        </w:tc>
        <w:tc>
          <w:tcPr>
            <w:tcW w:w="200" w:type="dxa"/>
            <w:tcBorders>
              <w:top w:val="nil"/>
              <w:left w:val="nil"/>
              <w:bottom w:val="nil"/>
              <w:right w:val="nil"/>
            </w:tcBorders>
            <w:shd w:val="clear" w:color="000000" w:fill="FFFFFF"/>
            <w:noWrap/>
            <w:tcMar>
              <w:top w:w="144" w:type="dxa"/>
              <w:left w:w="115" w:type="dxa"/>
              <w:right w:w="72" w:type="dxa"/>
            </w:tcMar>
          </w:tcPr>
          <w:p w14:paraId="789054A7" w14:textId="77777777" w:rsidR="00467C27" w:rsidRPr="006822FD" w:rsidRDefault="00467C27" w:rsidP="002279DA">
            <w:pPr>
              <w:spacing w:after="0" w:line="240" w:lineRule="auto"/>
              <w:rPr>
                <w:rFonts w:eastAsia="Times New Roman" w:cs="Calibri"/>
                <w:color w:val="000000"/>
              </w:rPr>
            </w:pPr>
          </w:p>
        </w:tc>
        <w:tc>
          <w:tcPr>
            <w:tcW w:w="5488"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tcPr>
          <w:p w14:paraId="540C91EA" w14:textId="77777777" w:rsidR="00467C27" w:rsidRPr="006822FD" w:rsidRDefault="00467C27" w:rsidP="002279DA">
            <w:pPr>
              <w:spacing w:afterLines="60" w:after="144" w:line="240" w:lineRule="auto"/>
              <w:ind w:left="130" w:right="101"/>
              <w:rPr>
                <w:rFonts w:eastAsia="Times New Roman" w:cs="Calibri"/>
                <w:color w:val="000000"/>
              </w:rPr>
            </w:pPr>
          </w:p>
        </w:tc>
      </w:tr>
    </w:tbl>
    <w:p w14:paraId="17DAE7E7" w14:textId="77777777" w:rsidR="00467C27" w:rsidRDefault="00467C27">
      <w:pPr>
        <w:sectPr w:rsidR="00467C27">
          <w:pgSz w:w="12240" w:h="15840"/>
          <w:pgMar w:top="621" w:right="576" w:bottom="576" w:left="576" w:header="0" w:footer="0" w:gutter="0"/>
          <w:cols w:space="720"/>
          <w:titlePg/>
        </w:sectPr>
      </w:pPr>
    </w:p>
    <w:p w14:paraId="71E9783E" w14:textId="77777777" w:rsidR="00BB7758" w:rsidRDefault="00BB7758"/>
    <w:tbl>
      <w:tblPr>
        <w:tblStyle w:val="a0"/>
        <w:tblW w:w="9810" w:type="dxa"/>
        <w:tblInd w:w="330" w:type="dxa"/>
        <w:tblBorders>
          <w:top w:val="nil"/>
          <w:left w:val="single" w:sz="24" w:space="0" w:color="BFBFBF"/>
          <w:bottom w:val="nil"/>
          <w:right w:val="nil"/>
          <w:insideH w:val="nil"/>
          <w:insideV w:val="nil"/>
        </w:tblBorders>
        <w:tblLayout w:type="fixed"/>
        <w:tblLook w:val="0400" w:firstRow="0" w:lastRow="0" w:firstColumn="0" w:lastColumn="0" w:noHBand="0" w:noVBand="1"/>
      </w:tblPr>
      <w:tblGrid>
        <w:gridCol w:w="9810"/>
      </w:tblGrid>
      <w:tr w:rsidR="00BB7758" w14:paraId="2C14D41F" w14:textId="77777777">
        <w:trPr>
          <w:trHeight w:val="2916"/>
        </w:trPr>
        <w:tc>
          <w:tcPr>
            <w:tcW w:w="9810" w:type="dxa"/>
          </w:tcPr>
          <w:p w14:paraId="24B6D3D1" w14:textId="77777777" w:rsidR="00BB7758" w:rsidRDefault="00BB7758">
            <w:pPr>
              <w:rPr>
                <w:b/>
              </w:rPr>
            </w:pPr>
          </w:p>
          <w:p w14:paraId="14E8C4FB" w14:textId="77777777" w:rsidR="00BB7758" w:rsidRDefault="00000000">
            <w:pPr>
              <w:jc w:val="center"/>
              <w:rPr>
                <w:b/>
              </w:rPr>
            </w:pPr>
            <w:r>
              <w:rPr>
                <w:b/>
              </w:rPr>
              <w:t>DISCLAIMER</w:t>
            </w:r>
          </w:p>
          <w:p w14:paraId="40D992AC" w14:textId="77777777" w:rsidR="00BB7758" w:rsidRDefault="00BB7758"/>
          <w:p w14:paraId="75DCA0E1" w14:textId="77777777" w:rsidR="00BB7758" w:rsidRDefault="00000000">
            <w:pPr>
              <w:spacing w:line="276" w:lineRule="auto"/>
            </w:pPr>
            <w: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61A70D2" w14:textId="77777777" w:rsidR="00BB7758" w:rsidRDefault="00BB7758">
      <w:pPr>
        <w:spacing w:line="240" w:lineRule="auto"/>
      </w:pPr>
    </w:p>
    <w:sectPr w:rsidR="00BB7758">
      <w:pgSz w:w="12240" w:h="15840"/>
      <w:pgMar w:top="621" w:right="576" w:bottom="576" w:left="576"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AAB7F" w14:textId="77777777" w:rsidR="00152A98" w:rsidRDefault="00152A98">
      <w:pPr>
        <w:spacing w:after="0" w:line="240" w:lineRule="auto"/>
      </w:pPr>
      <w:r>
        <w:separator/>
      </w:r>
    </w:p>
  </w:endnote>
  <w:endnote w:type="continuationSeparator" w:id="0">
    <w:p w14:paraId="3E272016" w14:textId="77777777" w:rsidR="00152A98" w:rsidRDefault="0015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6EDB1" w14:textId="77777777" w:rsidR="00152A98" w:rsidRDefault="00152A98">
      <w:pPr>
        <w:spacing w:after="0" w:line="240" w:lineRule="auto"/>
      </w:pPr>
      <w:r>
        <w:separator/>
      </w:r>
    </w:p>
  </w:footnote>
  <w:footnote w:type="continuationSeparator" w:id="0">
    <w:p w14:paraId="6F229EC2" w14:textId="77777777" w:rsidR="00152A98" w:rsidRDefault="00152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7BB5" w14:textId="77777777" w:rsidR="00BB7758" w:rsidRDefault="00BB7758">
    <w:pPr>
      <w:pStyle w:val="Heading5"/>
      <w:spacing w:line="240" w:lineRule="auto"/>
      <w:ind w:right="72" w:hanging="810"/>
      <w:jc w:val="right"/>
      <w:rPr>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1438C"/>
    <w:multiLevelType w:val="multilevel"/>
    <w:tmpl w:val="27009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F0279B"/>
    <w:multiLevelType w:val="multilevel"/>
    <w:tmpl w:val="3ACAA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0D758B5"/>
    <w:multiLevelType w:val="multilevel"/>
    <w:tmpl w:val="CA72F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0F5170"/>
    <w:multiLevelType w:val="multilevel"/>
    <w:tmpl w:val="049AE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7F6FA4"/>
    <w:multiLevelType w:val="multilevel"/>
    <w:tmpl w:val="9168E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75F0530"/>
    <w:multiLevelType w:val="multilevel"/>
    <w:tmpl w:val="86F84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693147"/>
    <w:multiLevelType w:val="multilevel"/>
    <w:tmpl w:val="6BB20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57024A1"/>
    <w:multiLevelType w:val="multilevel"/>
    <w:tmpl w:val="DAAEC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5153208">
    <w:abstractNumId w:val="3"/>
  </w:num>
  <w:num w:numId="2" w16cid:durableId="1848901960">
    <w:abstractNumId w:val="4"/>
  </w:num>
  <w:num w:numId="3" w16cid:durableId="425350747">
    <w:abstractNumId w:val="6"/>
  </w:num>
  <w:num w:numId="4" w16cid:durableId="1130897931">
    <w:abstractNumId w:val="0"/>
  </w:num>
  <w:num w:numId="5" w16cid:durableId="234516397">
    <w:abstractNumId w:val="1"/>
  </w:num>
  <w:num w:numId="6" w16cid:durableId="1523207912">
    <w:abstractNumId w:val="2"/>
  </w:num>
  <w:num w:numId="7" w16cid:durableId="1188064562">
    <w:abstractNumId w:val="5"/>
  </w:num>
  <w:num w:numId="8" w16cid:durableId="1796558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58"/>
    <w:rsid w:val="00152A98"/>
    <w:rsid w:val="00257109"/>
    <w:rsid w:val="003A1902"/>
    <w:rsid w:val="00467C27"/>
    <w:rsid w:val="00584957"/>
    <w:rsid w:val="00716D2C"/>
    <w:rsid w:val="00792994"/>
    <w:rsid w:val="007F0C8A"/>
    <w:rsid w:val="00821BDE"/>
    <w:rsid w:val="00971250"/>
    <w:rsid w:val="00AB0042"/>
    <w:rsid w:val="00BB7758"/>
    <w:rsid w:val="00BC3342"/>
    <w:rsid w:val="00CE527A"/>
    <w:rsid w:val="00DB1CCF"/>
    <w:rsid w:val="00DC07F1"/>
    <w:rsid w:val="00E93CBE"/>
    <w:rsid w:val="00EE4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6E10"/>
  <w15:docId w15:val="{A18B70FB-CBAA-9846-A3A0-30CA9A53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120"/>
      <w:ind w:left="-1080" w:right="-1440"/>
      <w:outlineLvl w:val="0"/>
    </w:pPr>
    <w:rPr>
      <w:smallCaps/>
      <w:color w:val="595959"/>
      <w:sz w:val="28"/>
      <w:szCs w:val="28"/>
    </w:rPr>
  </w:style>
  <w:style w:type="paragraph" w:styleId="Heading2">
    <w:name w:val="heading 2"/>
    <w:basedOn w:val="Normal"/>
    <w:next w:val="Normal"/>
    <w:uiPriority w:val="9"/>
    <w:unhideWhenUsed/>
    <w:qFormat/>
    <w:pPr>
      <w:keepNext/>
      <w:spacing w:after="80" w:line="240" w:lineRule="auto"/>
      <w:outlineLvl w:val="1"/>
    </w:pPr>
    <w:rPr>
      <w:color w:val="44546A"/>
      <w:sz w:val="24"/>
      <w:szCs w:val="24"/>
    </w:rPr>
  </w:style>
  <w:style w:type="paragraph" w:styleId="Heading3">
    <w:name w:val="heading 3"/>
    <w:basedOn w:val="Normal"/>
    <w:next w:val="Normal"/>
    <w:uiPriority w:val="9"/>
    <w:unhideWhenUsed/>
    <w:qFormat/>
    <w:pPr>
      <w:keepNext/>
      <w:spacing w:after="0" w:line="240" w:lineRule="auto"/>
      <w:outlineLvl w:val="2"/>
    </w:pPr>
    <w:rPr>
      <w:b/>
      <w:color w:val="FFFFFF"/>
      <w:sz w:val="24"/>
      <w:szCs w:val="24"/>
    </w:rPr>
  </w:style>
  <w:style w:type="paragraph" w:styleId="Heading4">
    <w:name w:val="heading 4"/>
    <w:basedOn w:val="Normal"/>
    <w:next w:val="Normal"/>
    <w:uiPriority w:val="9"/>
    <w:unhideWhenUsed/>
    <w:qFormat/>
    <w:pPr>
      <w:keepNext/>
      <w:spacing w:after="0" w:line="240" w:lineRule="auto"/>
      <w:outlineLvl w:val="3"/>
    </w:pPr>
    <w:rPr>
      <w:i/>
      <w:sz w:val="24"/>
      <w:szCs w:val="24"/>
    </w:rPr>
  </w:style>
  <w:style w:type="paragraph" w:styleId="Heading5">
    <w:name w:val="heading 5"/>
    <w:basedOn w:val="Normal"/>
    <w:next w:val="Normal"/>
    <w:uiPriority w:val="9"/>
    <w:unhideWhenUsed/>
    <w:qFormat/>
    <w:pPr>
      <w:keepNext/>
      <w:ind w:left="-810" w:right="-90"/>
      <w:outlineLvl w:val="4"/>
    </w:pPr>
    <w:rPr>
      <w:b/>
      <w:sz w:val="28"/>
      <w:szCs w:val="28"/>
    </w:rPr>
  </w:style>
  <w:style w:type="paragraph" w:styleId="Heading6">
    <w:name w:val="heading 6"/>
    <w:basedOn w:val="Normal"/>
    <w:next w:val="Normal"/>
    <w:uiPriority w:val="9"/>
    <w:semiHidden/>
    <w:unhideWhenUsed/>
    <w:qFormat/>
    <w:pPr>
      <w:keepNext/>
      <w:ind w:left="-900" w:right="-90"/>
      <w:outlineLvl w:val="5"/>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36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104713">
      <w:bodyDiv w:val="1"/>
      <w:marLeft w:val="0"/>
      <w:marRight w:val="0"/>
      <w:marTop w:val="0"/>
      <w:marBottom w:val="0"/>
      <w:divBdr>
        <w:top w:val="none" w:sz="0" w:space="0" w:color="auto"/>
        <w:left w:val="none" w:sz="0" w:space="0" w:color="auto"/>
        <w:bottom w:val="none" w:sz="0" w:space="0" w:color="auto"/>
        <w:right w:val="none" w:sz="0" w:space="0" w:color="auto"/>
      </w:divBdr>
    </w:div>
    <w:div w:id="1276713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892&amp;utm_source=template-word&amp;utm_medium=content&amp;utm_campaign=Basic+SWOT+Analysis+Marketing+Example-word-11892&amp;lpa=Basic+SWOT+Analysis+Marketing+Example+word+118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5</cp:revision>
  <cp:lastPrinted>2023-10-23T01:19:00Z</cp:lastPrinted>
  <dcterms:created xsi:type="dcterms:W3CDTF">2023-10-06T21:28:00Z</dcterms:created>
  <dcterms:modified xsi:type="dcterms:W3CDTF">2023-11-12T00:20:00Z</dcterms:modified>
</cp:coreProperties>
</file>