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5A667F21" w:rsidR="004236AE" w:rsidRPr="00512118" w:rsidRDefault="00FF38F2" w:rsidP="00512118">
      <w:pPr>
        <w:autoSpaceDE w:val="0"/>
        <w:autoSpaceDN w:val="0"/>
        <w:spacing w:after="0" w:line="240" w:lineRule="auto"/>
        <w:rPr>
          <w:rFonts w:eastAsia="MS PGothic" w:cs="Arial"/>
          <w:b/>
          <w:color w:val="595959" w:themeColor="text1" w:themeTint="A6"/>
          <w:sz w:val="50"/>
          <w:szCs w:val="50"/>
        </w:rPr>
      </w:pPr>
      <w:bookmarkStart w:id="0" w:name="_Hlk536359931"/>
      <w:r w:rsidRPr="00FF38F2">
        <w:rPr>
          <w:rFonts w:eastAsia="MS PGothic"/>
          <w:b/>
          <w:color w:val="595959" w:themeColor="text1" w:themeTint="A6"/>
          <w:sz w:val="50"/>
        </w:rPr>
        <w:drawing>
          <wp:anchor distT="0" distB="0" distL="114300" distR="114300" simplePos="0" relativeHeight="251658240" behindDoc="0" locked="0" layoutInCell="1" allowOverlap="1" wp14:anchorId="353AA0C9" wp14:editId="624C5B50">
            <wp:simplePos x="0" y="0"/>
            <wp:positionH relativeFrom="column">
              <wp:posOffset>4345940</wp:posOffset>
            </wp:positionH>
            <wp:positionV relativeFrom="paragraph">
              <wp:posOffset>-241935</wp:posOffset>
            </wp:positionV>
            <wp:extent cx="2679700" cy="354927"/>
            <wp:effectExtent l="0" t="0" r="0" b="1270"/>
            <wp:wrapNone/>
            <wp:docPr id="144170626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70626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5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61" w:rsidRPr="00512118">
        <w:rPr>
          <w:rFonts w:eastAsia="MS PGothic"/>
          <w:b/>
          <w:color w:val="595959" w:themeColor="text1" w:themeTint="A6"/>
          <w:sz w:val="50"/>
        </w:rPr>
        <w:t>目的と目標の専門的な例</w:t>
      </w:r>
    </w:p>
    <w:p w14:paraId="4662EBA9" w14:textId="77777777" w:rsidR="00C5421A" w:rsidRPr="00512118" w:rsidRDefault="00C5421A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8A286C" w:rsidRPr="00512118" w14:paraId="1EC7BDEF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2060"/>
            <w:vAlign w:val="center"/>
            <w:hideMark/>
          </w:tcPr>
          <w:p w14:paraId="2CC1B84A" w14:textId="195EFDD4" w:rsidR="008A286C" w:rsidRPr="00512118" w:rsidRDefault="00CA1389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会社のリーダーシップ</w:t>
            </w:r>
          </w:p>
        </w:tc>
      </w:tr>
      <w:tr w:rsidR="00CA1389" w:rsidRPr="00512118" w14:paraId="574D2ADF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3B95F39" w14:textId="200A719A" w:rsidR="00CA1389" w:rsidRPr="00512118" w:rsidRDefault="00CA1389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6FCE4580" w14:textId="25B8A3D8" w:rsidR="00CA1389" w:rsidRPr="00512118" w:rsidRDefault="00CA1389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CA1389" w:rsidRPr="00512118" w14:paraId="65B848A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69C1576" w14:textId="2A4911FC" w:rsidR="00CA1389" w:rsidRPr="00512118" w:rsidRDefault="00CA1389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より良いメンターになる。</w:t>
            </w:r>
          </w:p>
        </w:tc>
        <w:tc>
          <w:tcPr>
            <w:tcW w:w="8762" w:type="dxa"/>
            <w:shd w:val="clear" w:color="auto" w:fill="auto"/>
          </w:tcPr>
          <w:p w14:paraId="4D67F1E8" w14:textId="110A687F" w:rsidR="00CA1389" w:rsidRPr="00512118" w:rsidRDefault="00CA1389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監督者と一緒に毎月のチェックインをスケジュールする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27B82EB8" w14:textId="54CDFF48" w:rsidR="00CA1389" w:rsidRPr="00512118" w:rsidRDefault="00CA1389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四半期ごとにアンケートを配布して、監督者が最も求めるスキルと情報を特定する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37662C25" w14:textId="62F83F6B" w:rsidR="00CA1389" w:rsidRPr="00512118" w:rsidRDefault="00EA527A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各監督者のパフォーマンスを毎週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30 </w:t>
            </w:r>
            <w:r w:rsidRPr="00512118">
              <w:rPr>
                <w:rFonts w:ascii="Century Gothic" w:eastAsia="MS PGothic" w:hAnsi="Century Gothic"/>
                <w:sz w:val="22"/>
              </w:rPr>
              <w:t>分間レビューし、彼らが役立つリソースや情報を見つける手助けをする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039682AD" w14:textId="77777777" w:rsidR="00CA1389" w:rsidRPr="00512118" w:rsidRDefault="00CA1389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CA1389" w:rsidRPr="00512118" w14:paraId="229CC197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70C0"/>
            <w:vAlign w:val="center"/>
            <w:hideMark/>
          </w:tcPr>
          <w:p w14:paraId="401FE4E3" w14:textId="6976BE27" w:rsidR="00CA1389" w:rsidRPr="00512118" w:rsidRDefault="00CA1389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従業員</w:t>
            </w:r>
          </w:p>
        </w:tc>
      </w:tr>
      <w:tr w:rsidR="00CA1389" w:rsidRPr="00512118" w14:paraId="2DA39090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72BB919F" w14:textId="77777777" w:rsidR="00CA1389" w:rsidRPr="00512118" w:rsidRDefault="00CA1389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0CE83D0" w14:textId="77777777" w:rsidR="00CA1389" w:rsidRPr="00512118" w:rsidRDefault="00CA1389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CA1389" w:rsidRPr="00512118" w14:paraId="78DA8308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76EDC185" w14:textId="10316E92" w:rsidR="00CA1389" w:rsidRPr="00512118" w:rsidRDefault="00C1056B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アシスタントから管理職まで、自分のやり方で仕事をする。</w:t>
            </w:r>
            <w:r w:rsidRPr="00512118">
              <w:rPr>
                <w:rFonts w:ascii="Century Gothic" w:eastAsia="MS PGothic" w:hAnsi="Century Gothic"/>
                <w:sz w:val="22"/>
              </w:rPr>
              <w:tab/>
            </w:r>
          </w:p>
        </w:tc>
        <w:tc>
          <w:tcPr>
            <w:tcW w:w="8762" w:type="dxa"/>
            <w:shd w:val="clear" w:color="auto" w:fill="auto"/>
          </w:tcPr>
          <w:p w14:paraId="1A260A06" w14:textId="3FB0B63A" w:rsidR="00CA1389" w:rsidRPr="00512118" w:rsidRDefault="00CA1389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上司とミーティングをスケジュールし、会社の長期的な機会について話し合う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405B41A6" w14:textId="6554130F" w:rsidR="00CA1389" w:rsidRPr="00512118" w:rsidRDefault="00C1056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興味のある役職にいる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3 </w:t>
            </w:r>
            <w:r w:rsidRPr="00512118">
              <w:rPr>
                <w:rFonts w:ascii="Century Gothic" w:eastAsia="MS PGothic" w:hAnsi="Century Gothic"/>
                <w:sz w:val="22"/>
              </w:rPr>
              <w:t>人のマネージャーに情報面接を依頼する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07F2635C" w14:textId="7CACD908" w:rsidR="00CA1389" w:rsidRPr="00512118" w:rsidRDefault="00C1056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 xml:space="preserve">1 </w:t>
            </w:r>
            <w:proofErr w:type="gramStart"/>
            <w:r w:rsidRPr="00512118">
              <w:rPr>
                <w:rFonts w:ascii="Century Gothic" w:eastAsia="MS PGothic" w:hAnsi="Century Gothic"/>
                <w:sz w:val="22"/>
              </w:rPr>
              <w:t>か</w:t>
            </w:r>
            <w:proofErr w:type="gramEnd"/>
            <w:r w:rsidRPr="00512118">
              <w:rPr>
                <w:rFonts w:ascii="Century Gothic" w:eastAsia="MS PGothic" w:hAnsi="Century Gothic"/>
                <w:sz w:val="22"/>
              </w:rPr>
              <w:t>月に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 </w:t>
            </w:r>
            <w:r w:rsidRPr="00512118">
              <w:rPr>
                <w:rFonts w:ascii="Century Gothic" w:eastAsia="MS PGothic" w:hAnsi="Century Gothic"/>
                <w:sz w:val="22"/>
              </w:rPr>
              <w:t>つの企業向けトレーニング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</w:t>
            </w:r>
            <w:r w:rsidRPr="00512118">
              <w:rPr>
                <w:rFonts w:ascii="Century Gothic" w:eastAsia="MS PGothic" w:hAnsi="Century Gothic"/>
                <w:sz w:val="22"/>
              </w:rPr>
              <w:t>プログラムを利用する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63C1B018" w14:textId="77777777" w:rsidR="00D2796F" w:rsidRPr="00512118" w:rsidRDefault="00D2796F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D2796F" w:rsidRPr="00512118" w14:paraId="02FC7A46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86F89"/>
            <w:vAlign w:val="center"/>
            <w:hideMark/>
          </w:tcPr>
          <w:p w14:paraId="188D6230" w14:textId="7A6A4532" w:rsidR="00D2796F" w:rsidRPr="00512118" w:rsidRDefault="00D2796F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ビジネス</w:t>
            </w:r>
          </w:p>
        </w:tc>
      </w:tr>
      <w:tr w:rsidR="00D2796F" w:rsidRPr="00512118" w14:paraId="6EA5309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AEB70B3" w14:textId="77777777" w:rsidR="00D2796F" w:rsidRPr="00512118" w:rsidRDefault="00D2796F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54F4F62" w14:textId="77777777" w:rsidR="00D2796F" w:rsidRPr="00512118" w:rsidRDefault="00D2796F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D2796F" w:rsidRPr="00512118" w14:paraId="3B6E5A24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52466128" w14:textId="42ED9E0A" w:rsidR="00D2796F" w:rsidRPr="00512118" w:rsidRDefault="00D2796F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企業の持続可能性を高める。</w:t>
            </w:r>
          </w:p>
        </w:tc>
        <w:tc>
          <w:tcPr>
            <w:tcW w:w="8762" w:type="dxa"/>
            <w:shd w:val="clear" w:color="auto" w:fill="auto"/>
          </w:tcPr>
          <w:p w14:paraId="710A13DE" w14:textId="5043A7EB" w:rsidR="00D2796F" w:rsidRPr="00512118" w:rsidRDefault="00D2796F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毎月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150 </w:t>
            </w:r>
            <w:r w:rsidRPr="00512118">
              <w:rPr>
                <w:rFonts w:ascii="Century Gothic" w:eastAsia="MS PGothic" w:hAnsi="Century Gothic"/>
                <w:sz w:val="22"/>
              </w:rPr>
              <w:t>ドルの払い戻しを行い、従業員に公共交通機関の利用を促す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2AA931C6" w14:textId="5094385B" w:rsidR="00D2796F" w:rsidRPr="00512118" w:rsidRDefault="00416334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原料の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15% </w:t>
            </w:r>
            <w:r w:rsidRPr="00512118">
              <w:rPr>
                <w:rFonts w:ascii="Century Gothic" w:eastAsia="MS PGothic" w:hAnsi="Century Gothic"/>
                <w:sz w:val="22"/>
              </w:rPr>
              <w:t>をリサイクル製品に切り替える。</w:t>
            </w:r>
          </w:p>
          <w:p w14:paraId="37E731CD" w14:textId="6D10582C" w:rsidR="00D2796F" w:rsidRPr="00512118" w:rsidRDefault="00D2796F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環境コンサルタントのチームを雇って、生産慣行を監査する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3430F948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</w:rPr>
        <w:sectPr w:rsidR="00975C1F" w:rsidRPr="00512118" w:rsidSect="00ED138B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1384FAA9" w14:textId="55D80776" w:rsidR="00D2796F" w:rsidRPr="00512118" w:rsidRDefault="00D2796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5BA31E92" w14:textId="1BD8A5AD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6158A122" w14:textId="202A738A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179F34F9" w14:textId="51C00501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4E8CDB51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D2796F" w:rsidRPr="00512118" w14:paraId="2529FA2C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0598B0"/>
            <w:vAlign w:val="center"/>
            <w:hideMark/>
          </w:tcPr>
          <w:p w14:paraId="6F90E83A" w14:textId="01329ABE" w:rsidR="00D2796F" w:rsidRPr="00512118" w:rsidRDefault="00B51B6B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チーム</w:t>
            </w:r>
          </w:p>
        </w:tc>
      </w:tr>
      <w:tr w:rsidR="00D2796F" w:rsidRPr="00512118" w14:paraId="2D49F64B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566F42A0" w14:textId="77777777" w:rsidR="00D2796F" w:rsidRPr="00512118" w:rsidRDefault="00D2796F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055BC966" w14:textId="77777777" w:rsidR="00D2796F" w:rsidRPr="00512118" w:rsidRDefault="00D2796F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D2796F" w:rsidRPr="00512118" w14:paraId="4A840BF2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97A637B" w14:textId="2C2DB71C" w:rsidR="00D2796F" w:rsidRPr="00512118" w:rsidRDefault="00B51B6B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強力なチーム文化を構築する。</w:t>
            </w:r>
          </w:p>
        </w:tc>
        <w:tc>
          <w:tcPr>
            <w:tcW w:w="8681" w:type="dxa"/>
            <w:shd w:val="clear" w:color="auto" w:fill="auto"/>
          </w:tcPr>
          <w:p w14:paraId="37471D0E" w14:textId="12F308F9" w:rsidR="00D2796F" w:rsidRPr="00512118" w:rsidRDefault="00B51B6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毎月のチェックイン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</w:t>
            </w:r>
            <w:r w:rsidRPr="00512118">
              <w:rPr>
                <w:rFonts w:ascii="Century Gothic" w:eastAsia="MS PGothic" w:hAnsi="Century Gothic"/>
                <w:sz w:val="22"/>
              </w:rPr>
              <w:t>ミーティングを実施して、期待事項を共有し、目標を設定し、チームと個人の成功を認める。</w:t>
            </w:r>
          </w:p>
          <w:p w14:paraId="3E3284D8" w14:textId="34DCEFC5" w:rsidR="00D2796F" w:rsidRPr="00512118" w:rsidRDefault="00B51B6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チーム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</w:t>
            </w:r>
            <w:r w:rsidRPr="00512118">
              <w:rPr>
                <w:rFonts w:ascii="Century Gothic" w:eastAsia="MS PGothic" w:hAnsi="Century Gothic"/>
                <w:sz w:val="22"/>
              </w:rPr>
              <w:t>メンバーのために毎月のハッピーアワーを開催する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331F1561" w14:textId="2F5DD5CC" w:rsidR="00D2796F" w:rsidRPr="00512118" w:rsidRDefault="00B51B6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ダイバーシティ、エクイティ、インクルージョン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(DEI)</w:t>
            </w:r>
            <w:r w:rsidRPr="00512118">
              <w:rPr>
                <w:rFonts w:ascii="Century Gothic" w:eastAsia="MS PGothic" w:hAnsi="Century Gothic"/>
                <w:sz w:val="22"/>
              </w:rPr>
              <w:t>、ストレス管理、コミュニケーション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</w:t>
            </w:r>
            <w:r w:rsidRPr="00512118">
              <w:rPr>
                <w:rFonts w:ascii="Century Gothic" w:eastAsia="MS PGothic" w:hAnsi="Century Gothic"/>
                <w:sz w:val="22"/>
              </w:rPr>
              <w:t>スキルなどのトピックをカバーする四半期ごとに無料のトレーニング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</w:t>
            </w:r>
            <w:r w:rsidRPr="00512118">
              <w:rPr>
                <w:rFonts w:ascii="Century Gothic" w:eastAsia="MS PGothic" w:hAnsi="Century Gothic"/>
                <w:sz w:val="22"/>
              </w:rPr>
              <w:t>モジュールを提供する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507E2EBB" w14:textId="77777777" w:rsidR="00B51B6B" w:rsidRPr="00512118" w:rsidRDefault="00B51B6B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512118" w14:paraId="39D49FB1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ABA06C"/>
            <w:vAlign w:val="center"/>
            <w:hideMark/>
          </w:tcPr>
          <w:p w14:paraId="13D3A7AF" w14:textId="1839B38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プロジェクト管理</w:t>
            </w:r>
          </w:p>
        </w:tc>
      </w:tr>
      <w:tr w:rsidR="00B51B6B" w:rsidRPr="00512118" w14:paraId="4D3D508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CFF2F34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54C2B8ED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B51B6B" w:rsidRPr="00512118" w14:paraId="5191EC2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44477BF3" w14:textId="29FEECFF" w:rsidR="00B51B6B" w:rsidRPr="00512118" w:rsidRDefault="00992A0B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プロジェクトを成功に導く。</w:t>
            </w:r>
          </w:p>
        </w:tc>
        <w:tc>
          <w:tcPr>
            <w:tcW w:w="8681" w:type="dxa"/>
            <w:shd w:val="clear" w:color="auto" w:fill="auto"/>
          </w:tcPr>
          <w:p w14:paraId="056AED80" w14:textId="49066EA7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包括的なリスク評価を実行する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72260144" w14:textId="40DA8E94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しっかりとした</w:t>
            </w:r>
            <w:hyperlink r:id="rId11" w:history="1">
              <w:r w:rsidRPr="00512118">
                <w:rPr>
                  <w:rStyle w:val="Hyperlink"/>
                  <w:rFonts w:ascii="Century Gothic" w:eastAsia="MS PGothic" w:hAnsi="Century Gothic"/>
                  <w:sz w:val="22"/>
                </w:rPr>
                <w:t>プロジェクト計画</w:t>
              </w:r>
            </w:hyperlink>
            <w:r w:rsidRPr="00512118">
              <w:rPr>
                <w:rFonts w:ascii="Century Gothic" w:eastAsia="MS PGothic" w:hAnsi="Century Gothic"/>
                <w:sz w:val="22"/>
              </w:rPr>
              <w:t>を立てる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370B8FA1" w14:textId="5F40988B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予算の承認を確保する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661C8341" w14:textId="77777777" w:rsidR="00B51B6B" w:rsidRPr="00512118" w:rsidRDefault="00B51B6B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512118" w14:paraId="46E77AFF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F8971D"/>
            <w:vAlign w:val="center"/>
            <w:hideMark/>
          </w:tcPr>
          <w:p w14:paraId="6EE44993" w14:textId="4FD76801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マーケティング</w:t>
            </w:r>
          </w:p>
        </w:tc>
      </w:tr>
      <w:tr w:rsidR="00B51B6B" w:rsidRPr="00512118" w14:paraId="3F3F72FA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966665F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28722D45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B51B6B" w:rsidRPr="00512118" w14:paraId="301064A5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02AC288" w14:textId="26D0605A" w:rsidR="00B51B6B" w:rsidRPr="00512118" w:rsidRDefault="00992A0B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ブランド認知度を高める。</w:t>
            </w:r>
          </w:p>
        </w:tc>
        <w:tc>
          <w:tcPr>
            <w:tcW w:w="8681" w:type="dxa"/>
            <w:shd w:val="clear" w:color="auto" w:fill="auto"/>
          </w:tcPr>
          <w:p w14:paraId="14355B3E" w14:textId="5B243FDE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会社の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Instagram </w:t>
            </w:r>
            <w:r w:rsidRPr="00512118">
              <w:rPr>
                <w:rFonts w:ascii="Century Gothic" w:eastAsia="MS PGothic" w:hAnsi="Century Gothic"/>
                <w:sz w:val="22"/>
              </w:rPr>
              <w:t>の投稿を週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10 </w:t>
            </w:r>
            <w:r w:rsidRPr="00512118">
              <w:rPr>
                <w:rFonts w:ascii="Century Gothic" w:eastAsia="MS PGothic" w:hAnsi="Century Gothic"/>
                <w:sz w:val="22"/>
              </w:rPr>
              <w:t>件から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15 </w:t>
            </w:r>
            <w:r w:rsidRPr="00512118">
              <w:rPr>
                <w:rFonts w:ascii="Century Gothic" w:eastAsia="MS PGothic" w:hAnsi="Century Gothic"/>
                <w:sz w:val="22"/>
              </w:rPr>
              <w:t>件に増やす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5DFA09ED" w14:textId="2597D23B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自分の分野のインフルエンサーを調査し、潜在的なパートナーシップを築くために接触する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6 </w:t>
            </w:r>
            <w:r w:rsidRPr="00512118">
              <w:rPr>
                <w:rFonts w:ascii="Century Gothic" w:eastAsia="MS PGothic" w:hAnsi="Century Gothic"/>
                <w:sz w:val="22"/>
              </w:rPr>
              <w:t>人の中間インフルエンサーを特定する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586EDC90" w14:textId="71152E44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今後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3 </w:t>
            </w:r>
            <w:proofErr w:type="gramStart"/>
            <w:r w:rsidRPr="00512118">
              <w:rPr>
                <w:rFonts w:ascii="Century Gothic" w:eastAsia="MS PGothic" w:hAnsi="Century Gothic"/>
                <w:sz w:val="22"/>
              </w:rPr>
              <w:t>か</w:t>
            </w:r>
            <w:proofErr w:type="gramEnd"/>
            <w:r w:rsidRPr="00512118">
              <w:rPr>
                <w:rFonts w:ascii="Century Gothic" w:eastAsia="MS PGothic" w:hAnsi="Century Gothic"/>
                <w:sz w:val="22"/>
              </w:rPr>
              <w:t>月間に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2 </w:t>
            </w:r>
            <w:r w:rsidRPr="00512118">
              <w:rPr>
                <w:rFonts w:ascii="Century Gothic" w:eastAsia="MS PGothic" w:hAnsi="Century Gothic"/>
                <w:sz w:val="22"/>
              </w:rPr>
              <w:t>回の会議に参加する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491B6B51" w14:textId="77777777" w:rsidR="00992A0B" w:rsidRPr="00512118" w:rsidRDefault="00992A0B" w:rsidP="00512118">
      <w:pPr>
        <w:autoSpaceDE w:val="0"/>
        <w:autoSpaceDN w:val="0"/>
        <w:spacing w:after="100" w:line="240" w:lineRule="auto"/>
        <w:rPr>
          <w:rFonts w:eastAsia="MS PGothic"/>
        </w:rPr>
        <w:sectPr w:rsidR="00992A0B" w:rsidRPr="00512118" w:rsidSect="00ED138B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4988CAEB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1FDD6713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0BC8053E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137DDDFD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  <w:sz w:val="18"/>
          <w:szCs w:val="21"/>
        </w:rPr>
      </w:pPr>
    </w:p>
    <w:p w14:paraId="5EB9EACE" w14:textId="77777777" w:rsidR="00975C1F" w:rsidRPr="00512118" w:rsidRDefault="00975C1F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512118" w14:paraId="7CCE52D2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ED2923"/>
            <w:vAlign w:val="center"/>
            <w:hideMark/>
          </w:tcPr>
          <w:p w14:paraId="79D5092F" w14:textId="206A4319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人事</w:t>
            </w:r>
          </w:p>
        </w:tc>
      </w:tr>
      <w:tr w:rsidR="00B51B6B" w:rsidRPr="00512118" w14:paraId="51DD35A4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24C4125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126BEFDA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B51B6B" w:rsidRPr="00512118" w14:paraId="03B11B49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E5FBE4E" w14:textId="2FD045E7" w:rsidR="00B51B6B" w:rsidRPr="00512118" w:rsidRDefault="00992A0B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従業員の離職率を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2 </w:t>
            </w:r>
            <w:r w:rsidRPr="00512118">
              <w:rPr>
                <w:rFonts w:ascii="Century Gothic" w:eastAsia="MS PGothic" w:hAnsi="Century Gothic"/>
                <w:sz w:val="22"/>
              </w:rPr>
              <w:t>年間で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15% </w:t>
            </w:r>
            <w:r w:rsidRPr="00512118">
              <w:rPr>
                <w:rFonts w:ascii="Century Gothic" w:eastAsia="MS PGothic" w:hAnsi="Century Gothic"/>
                <w:sz w:val="22"/>
              </w:rPr>
              <w:t>削減する。</w:t>
            </w:r>
          </w:p>
        </w:tc>
        <w:tc>
          <w:tcPr>
            <w:tcW w:w="8681" w:type="dxa"/>
            <w:shd w:val="clear" w:color="auto" w:fill="auto"/>
          </w:tcPr>
          <w:p w14:paraId="19BAEE30" w14:textId="1EF7AAA0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年間医療費を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10% </w:t>
            </w:r>
            <w:r w:rsidRPr="00512118">
              <w:rPr>
                <w:rFonts w:ascii="Century Gothic" w:eastAsia="MS PGothic" w:hAnsi="Century Gothic"/>
                <w:sz w:val="22"/>
              </w:rPr>
              <w:t>削減するために、従業員に追加の医療手当を提供する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33505E96" w14:textId="68B95181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従業員表彰プログラムを確立し、企業の賞や賞を配布し、業績を高める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7FB2A6AC" w14:textId="366FF4C3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各従業員が年間最大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2500 </w:t>
            </w:r>
            <w:r w:rsidRPr="00512118">
              <w:rPr>
                <w:rFonts w:ascii="Century Gothic" w:eastAsia="MS PGothic" w:hAnsi="Century Gothic"/>
                <w:sz w:val="22"/>
              </w:rPr>
              <w:t>ドルを継続教育に費やすことができるように、奨学金を作成する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3C706A4E" w14:textId="77777777" w:rsidR="00B51B6B" w:rsidRPr="00512118" w:rsidRDefault="00B51B6B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512118" w14:paraId="1E5E1EC6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BE554F"/>
            <w:vAlign w:val="center"/>
            <w:hideMark/>
          </w:tcPr>
          <w:p w14:paraId="3FAB0150" w14:textId="5DF851A2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233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512118">
              <w:rPr>
                <w:rFonts w:eastAsia="MS PGothic"/>
                <w:color w:val="FFFFFF" w:themeColor="background1"/>
                <w:sz w:val="36"/>
              </w:rPr>
              <w:t>売上</w:t>
            </w:r>
          </w:p>
        </w:tc>
      </w:tr>
      <w:tr w:rsidR="00B51B6B" w:rsidRPr="00512118" w14:paraId="7FE55DEE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BCF5B10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目的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7CE53313" w14:textId="77777777" w:rsidR="00B51B6B" w:rsidRPr="00512118" w:rsidRDefault="00B51B6B" w:rsidP="00512118">
            <w:pPr>
              <w:autoSpaceDE w:val="0"/>
              <w:autoSpaceDN w:val="0"/>
              <w:spacing w:after="0" w:line="240" w:lineRule="auto"/>
              <w:ind w:left="106" w:right="66"/>
              <w:rPr>
                <w:rFonts w:eastAsia="MS PGothic" w:cs="Calibri"/>
                <w:color w:val="F2F2F2" w:themeColor="background1" w:themeShade="F2"/>
                <w:sz w:val="28"/>
                <w:szCs w:val="28"/>
              </w:rPr>
            </w:pPr>
            <w:r w:rsidRPr="00512118">
              <w:rPr>
                <w:rFonts w:eastAsia="MS PGothic"/>
                <w:color w:val="F2F2F2" w:themeColor="background1" w:themeShade="F2"/>
                <w:sz w:val="28"/>
              </w:rPr>
              <w:t>目標</w:t>
            </w:r>
          </w:p>
        </w:tc>
      </w:tr>
      <w:tr w:rsidR="00B51B6B" w:rsidRPr="00512118" w14:paraId="419C2CBB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1D516162" w14:textId="64166A42" w:rsidR="00B51B6B" w:rsidRPr="00512118" w:rsidRDefault="00992A0B" w:rsidP="0051211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321" w:right="72" w:hanging="270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年間収益を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10% </w:t>
            </w:r>
            <w:r w:rsidRPr="00512118">
              <w:rPr>
                <w:rFonts w:ascii="Century Gothic" w:eastAsia="MS PGothic" w:hAnsi="Century Gothic"/>
                <w:sz w:val="22"/>
              </w:rPr>
              <w:t>増加させる。</w:t>
            </w:r>
          </w:p>
        </w:tc>
        <w:tc>
          <w:tcPr>
            <w:tcW w:w="8681" w:type="dxa"/>
            <w:shd w:val="clear" w:color="auto" w:fill="auto"/>
          </w:tcPr>
          <w:p w14:paraId="37A27907" w14:textId="26C1BE6E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新しい顧客への支援に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 </w:t>
            </w:r>
            <w:r w:rsidRPr="00512118">
              <w:rPr>
                <w:rFonts w:ascii="Century Gothic" w:eastAsia="MS PGothic" w:hAnsi="Century Gothic"/>
                <w:sz w:val="22"/>
              </w:rPr>
              <w:t>日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 </w:t>
            </w:r>
            <w:r w:rsidRPr="00512118">
              <w:rPr>
                <w:rFonts w:ascii="Century Gothic" w:eastAsia="MS PGothic" w:hAnsi="Century Gothic"/>
                <w:sz w:val="22"/>
              </w:rPr>
              <w:t>時間を費やす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6F09CC78" w14:textId="08150F73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Times New Roman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アップグレードされたサービスを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 </w:t>
            </w:r>
            <w:r w:rsidRPr="00512118">
              <w:rPr>
                <w:rFonts w:ascii="Century Gothic" w:eastAsia="MS PGothic" w:hAnsi="Century Gothic"/>
                <w:sz w:val="22"/>
              </w:rPr>
              <w:t>週間に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2 </w:t>
            </w:r>
            <w:r w:rsidRPr="00512118">
              <w:rPr>
                <w:rFonts w:ascii="Century Gothic" w:eastAsia="MS PGothic" w:hAnsi="Century Gothic"/>
                <w:sz w:val="22"/>
              </w:rPr>
              <w:t>人の既存顧客に販売する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</w:p>
          <w:p w14:paraId="21C94657" w14:textId="7D7658FD" w:rsidR="00B51B6B" w:rsidRPr="00512118" w:rsidRDefault="00992A0B" w:rsidP="0051211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88" w:right="72"/>
              <w:contextualSpacing w:val="0"/>
              <w:rPr>
                <w:rFonts w:ascii="Century Gothic" w:eastAsia="MS PGothic" w:hAnsi="Century Gothic" w:cs="Calibri"/>
                <w:color w:val="000000"/>
                <w:sz w:val="22"/>
              </w:rPr>
            </w:pPr>
            <w:r w:rsidRPr="00512118">
              <w:rPr>
                <w:rFonts w:ascii="Century Gothic" w:eastAsia="MS PGothic" w:hAnsi="Century Gothic"/>
                <w:sz w:val="22"/>
              </w:rPr>
              <w:t>顧客離れを減らすために、既存の顧客への支援に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 </w:t>
            </w:r>
            <w:r w:rsidRPr="00512118">
              <w:rPr>
                <w:rFonts w:ascii="Century Gothic" w:eastAsia="MS PGothic" w:hAnsi="Century Gothic"/>
                <w:sz w:val="22"/>
              </w:rPr>
              <w:t>日</w:t>
            </w:r>
            <w:r w:rsidRPr="00512118">
              <w:rPr>
                <w:rFonts w:ascii="Century Gothic" w:eastAsia="MS PGothic" w:hAnsi="Century Gothic"/>
                <w:sz w:val="22"/>
              </w:rPr>
              <w:t xml:space="preserve"> 1 </w:t>
            </w:r>
            <w:r w:rsidRPr="00512118">
              <w:rPr>
                <w:rFonts w:ascii="Century Gothic" w:eastAsia="MS PGothic" w:hAnsi="Century Gothic"/>
                <w:sz w:val="22"/>
              </w:rPr>
              <w:t>時間を費やす</w:t>
            </w:r>
            <w:r w:rsidR="00512118">
              <w:rPr>
                <w:rFonts w:ascii="Century Gothic" w:eastAsia="MS PGothic" w:hAnsi="Century Gothic"/>
                <w:sz w:val="22"/>
              </w:rPr>
              <w:t>。</w:t>
            </w:r>
            <w:r w:rsidR="00975C1F" w:rsidRPr="00512118">
              <w:rPr>
                <w:rFonts w:ascii="Century Gothic" w:eastAsia="MS PGothic" w:hAnsi="Century Gothic"/>
                <w:sz w:val="22"/>
              </w:rPr>
              <w:br/>
            </w:r>
          </w:p>
        </w:tc>
      </w:tr>
    </w:tbl>
    <w:p w14:paraId="1F6CD375" w14:textId="77777777" w:rsidR="00B51B6B" w:rsidRPr="00512118" w:rsidRDefault="00B51B6B" w:rsidP="00512118">
      <w:pPr>
        <w:autoSpaceDE w:val="0"/>
        <w:autoSpaceDN w:val="0"/>
        <w:spacing w:after="100" w:line="240" w:lineRule="auto"/>
        <w:rPr>
          <w:rFonts w:eastAsia="MS PGothic"/>
        </w:rPr>
      </w:pPr>
    </w:p>
    <w:p w14:paraId="06030726" w14:textId="77777777" w:rsidR="00B51B6B" w:rsidRPr="00512118" w:rsidRDefault="00B51B6B" w:rsidP="00512118">
      <w:pPr>
        <w:autoSpaceDE w:val="0"/>
        <w:autoSpaceDN w:val="0"/>
        <w:rPr>
          <w:rFonts w:eastAsia="MS PGothic"/>
          <w:szCs w:val="20"/>
        </w:rPr>
        <w:sectPr w:rsidR="00B51B6B" w:rsidRPr="00512118" w:rsidSect="00ED138B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Pr="00512118" w:rsidRDefault="00ED138B" w:rsidP="00512118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512118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512118" w:rsidRDefault="00A64F9A" w:rsidP="00512118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512118" w:rsidRDefault="00A64F9A" w:rsidP="00512118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512118">
              <w:rPr>
                <w:rFonts w:eastAsia="MS PGothic"/>
                <w:b/>
              </w:rPr>
              <w:t xml:space="preserve">– </w:t>
            </w:r>
            <w:r w:rsidRPr="00512118">
              <w:rPr>
                <w:rFonts w:eastAsia="MS PGothic"/>
                <w:b/>
              </w:rPr>
              <w:t>免責条項</w:t>
            </w:r>
            <w:r w:rsidRPr="00512118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512118" w:rsidRDefault="00A64F9A" w:rsidP="00512118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512118" w:rsidRDefault="00A64F9A" w:rsidP="00512118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512118">
              <w:rPr>
                <w:rFonts w:eastAsia="MS PGothic"/>
              </w:rPr>
              <w:t xml:space="preserve">Smartsheet </w:t>
            </w:r>
            <w:r w:rsidRPr="00512118">
              <w:rPr>
                <w:rFonts w:eastAsia="MS PGothic"/>
              </w:rPr>
              <w:t>がこの</w:t>
            </w:r>
            <w:r w:rsidRPr="00512118">
              <w:rPr>
                <w:rFonts w:eastAsia="MS PGothic"/>
              </w:rPr>
              <w:t xml:space="preserve"> Web </w:t>
            </w:r>
            <w:r w:rsidRPr="00512118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512118">
              <w:rPr>
                <w:rFonts w:eastAsia="MS PGothic"/>
              </w:rPr>
              <w:t xml:space="preserve">Smartsheet </w:t>
            </w:r>
            <w:r w:rsidRPr="00512118">
              <w:rPr>
                <w:rFonts w:eastAsia="MS PGothic"/>
              </w:rPr>
              <w:t>は、情報の最新性および正確性の確保に努めますが、本</w:t>
            </w:r>
            <w:r w:rsidRPr="00512118">
              <w:rPr>
                <w:rFonts w:eastAsia="MS PGothic"/>
              </w:rPr>
              <w:t xml:space="preserve"> Web </w:t>
            </w:r>
            <w:r w:rsidRPr="00512118">
              <w:rPr>
                <w:rFonts w:eastAsia="MS PGothic"/>
              </w:rPr>
              <w:t>サイトまたは本</w:t>
            </w:r>
            <w:r w:rsidRPr="00512118">
              <w:rPr>
                <w:rFonts w:eastAsia="MS PGothic"/>
              </w:rPr>
              <w:t xml:space="preserve"> Web </w:t>
            </w:r>
            <w:r w:rsidRPr="00512118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12118">
              <w:rPr>
                <w:rFonts w:eastAsia="MS PGothic"/>
              </w:rPr>
              <w:t xml:space="preserve"> Smartsheet </w:t>
            </w:r>
            <w:r w:rsidRPr="00512118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512118" w:rsidRDefault="00A64F9A" w:rsidP="00512118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512118" w:rsidSect="00ED138B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99E6" w14:textId="77777777" w:rsidR="00A553CA" w:rsidRDefault="00A553CA" w:rsidP="00480F66">
      <w:pPr>
        <w:spacing w:after="0" w:line="240" w:lineRule="auto"/>
      </w:pPr>
      <w:r>
        <w:separator/>
      </w:r>
    </w:p>
  </w:endnote>
  <w:endnote w:type="continuationSeparator" w:id="0">
    <w:p w14:paraId="4F853E07" w14:textId="77777777" w:rsidR="00A553CA" w:rsidRDefault="00A553C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49E5" w14:textId="77777777" w:rsidR="00A553CA" w:rsidRDefault="00A553CA" w:rsidP="00480F66">
      <w:pPr>
        <w:spacing w:after="0" w:line="240" w:lineRule="auto"/>
      </w:pPr>
      <w:r>
        <w:separator/>
      </w:r>
    </w:p>
  </w:footnote>
  <w:footnote w:type="continuationSeparator" w:id="0">
    <w:p w14:paraId="2033EA2E" w14:textId="77777777" w:rsidR="00A553CA" w:rsidRDefault="00A553C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24693223">
    <w:abstractNumId w:val="7"/>
  </w:num>
  <w:num w:numId="2" w16cid:durableId="1987395299">
    <w:abstractNumId w:val="4"/>
  </w:num>
  <w:num w:numId="3" w16cid:durableId="836917075">
    <w:abstractNumId w:val="2"/>
  </w:num>
  <w:num w:numId="4" w16cid:durableId="1944873004">
    <w:abstractNumId w:val="13"/>
  </w:num>
  <w:num w:numId="5" w16cid:durableId="1709646201">
    <w:abstractNumId w:val="15"/>
  </w:num>
  <w:num w:numId="6" w16cid:durableId="386690479">
    <w:abstractNumId w:val="12"/>
  </w:num>
  <w:num w:numId="7" w16cid:durableId="1611932871">
    <w:abstractNumId w:val="11"/>
  </w:num>
  <w:num w:numId="8" w16cid:durableId="1243179639">
    <w:abstractNumId w:val="6"/>
  </w:num>
  <w:num w:numId="9" w16cid:durableId="150028562">
    <w:abstractNumId w:val="8"/>
  </w:num>
  <w:num w:numId="10" w16cid:durableId="296760018">
    <w:abstractNumId w:val="16"/>
  </w:num>
  <w:num w:numId="11" w16cid:durableId="1642150576">
    <w:abstractNumId w:val="14"/>
  </w:num>
  <w:num w:numId="12" w16cid:durableId="389350017">
    <w:abstractNumId w:val="5"/>
  </w:num>
  <w:num w:numId="13" w16cid:durableId="24210570">
    <w:abstractNumId w:val="0"/>
  </w:num>
  <w:num w:numId="14" w16cid:durableId="858356140">
    <w:abstractNumId w:val="1"/>
  </w:num>
  <w:num w:numId="15" w16cid:durableId="1489058666">
    <w:abstractNumId w:val="9"/>
  </w:num>
  <w:num w:numId="16" w16cid:durableId="1247687072">
    <w:abstractNumId w:val="10"/>
  </w:num>
  <w:num w:numId="17" w16cid:durableId="777868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5CB9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D585C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769BD"/>
    <w:rsid w:val="00184DC6"/>
    <w:rsid w:val="00186202"/>
    <w:rsid w:val="00194E5F"/>
    <w:rsid w:val="001A141A"/>
    <w:rsid w:val="001A1C0F"/>
    <w:rsid w:val="001A628F"/>
    <w:rsid w:val="001A6860"/>
    <w:rsid w:val="001A69A7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B74E5"/>
    <w:rsid w:val="002D5E3D"/>
    <w:rsid w:val="002E065B"/>
    <w:rsid w:val="002E5471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00AB"/>
    <w:rsid w:val="003B37F1"/>
    <w:rsid w:val="003C28ED"/>
    <w:rsid w:val="003C6D62"/>
    <w:rsid w:val="003D6BC8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0D5C"/>
    <w:rsid w:val="00443CC7"/>
    <w:rsid w:val="00450F33"/>
    <w:rsid w:val="0045153B"/>
    <w:rsid w:val="00480F66"/>
    <w:rsid w:val="0048129D"/>
    <w:rsid w:val="00494038"/>
    <w:rsid w:val="0049564B"/>
    <w:rsid w:val="004D077A"/>
    <w:rsid w:val="004D681B"/>
    <w:rsid w:val="004D7C3D"/>
    <w:rsid w:val="005076B8"/>
    <w:rsid w:val="00512118"/>
    <w:rsid w:val="00517CA8"/>
    <w:rsid w:val="005367EA"/>
    <w:rsid w:val="00541C9F"/>
    <w:rsid w:val="00541D2D"/>
    <w:rsid w:val="0054268D"/>
    <w:rsid w:val="00544A5D"/>
    <w:rsid w:val="00570608"/>
    <w:rsid w:val="00577B99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1106"/>
    <w:rsid w:val="00886DDF"/>
    <w:rsid w:val="0089235E"/>
    <w:rsid w:val="008939B0"/>
    <w:rsid w:val="008A110C"/>
    <w:rsid w:val="008A286C"/>
    <w:rsid w:val="008A2B06"/>
    <w:rsid w:val="008D11A0"/>
    <w:rsid w:val="008D2AB6"/>
    <w:rsid w:val="008D3852"/>
    <w:rsid w:val="008D538B"/>
    <w:rsid w:val="008E56A5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242C2"/>
    <w:rsid w:val="00A32F89"/>
    <w:rsid w:val="00A46625"/>
    <w:rsid w:val="00A47C80"/>
    <w:rsid w:val="00A54153"/>
    <w:rsid w:val="00A553CA"/>
    <w:rsid w:val="00A61614"/>
    <w:rsid w:val="00A64F9A"/>
    <w:rsid w:val="00A6517C"/>
    <w:rsid w:val="00A70E94"/>
    <w:rsid w:val="00A72DB9"/>
    <w:rsid w:val="00A74BE2"/>
    <w:rsid w:val="00A750F6"/>
    <w:rsid w:val="00AC3409"/>
    <w:rsid w:val="00AC41EA"/>
    <w:rsid w:val="00AC78FF"/>
    <w:rsid w:val="00AF0690"/>
    <w:rsid w:val="00B06EC2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21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06&amp;utm_language=JP&amp;utm_source=template-word&amp;utm_medium=content&amp;utm_campaign=ic-Roundup+of+Professional+Examples+of+Goals+and+Objectives-word-77906-jp&amp;lpa=ic+Roundup+of+Professional+Examples+of+Goals+and+Objectives+word+77906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sheet.com/content/how-to-create-project-pl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2E2C-7B35-4970-A1FB-058CF3E2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14</cp:revision>
  <cp:lastPrinted>2022-10-29T00:06:00Z</cp:lastPrinted>
  <dcterms:created xsi:type="dcterms:W3CDTF">2022-10-28T21:25:00Z</dcterms:created>
  <dcterms:modified xsi:type="dcterms:W3CDTF">2023-12-11T20:24:00Z</dcterms:modified>
</cp:coreProperties>
</file>