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495" w14:textId="566CE2B4" w:rsidR="0022017E" w:rsidRPr="00202A43" w:rsidRDefault="00823C0E">
      <w:pPr>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202A43">
        <w:rPr>
          <w:rFonts w:ascii="Century Gothic" w:hAnsi="Century Gothic"/>
          <w:b/>
          <w:bCs/>
          <w:noProof/>
          <w:color w:val="595959" w:themeColor="text1" w:themeTint="A6"/>
          <w:sz w:val="44"/>
          <w:szCs w:val="44"/>
        </w:rPr>
        <w:drawing>
          <wp:anchor distT="0" distB="0" distL="114300" distR="114300" simplePos="0" relativeHeight="251666432" behindDoc="0" locked="0" layoutInCell="1" allowOverlap="1" wp14:anchorId="1D8E9237" wp14:editId="1AEE86BE">
            <wp:simplePos x="0" y="0"/>
            <wp:positionH relativeFrom="column">
              <wp:posOffset>5411470</wp:posOffset>
            </wp:positionH>
            <wp:positionV relativeFrom="paragraph">
              <wp:posOffset>9525</wp:posOffset>
            </wp:positionV>
            <wp:extent cx="3706339" cy="514350"/>
            <wp:effectExtent l="0" t="0" r="2540" b="0"/>
            <wp:wrapNone/>
            <wp:docPr id="3" name="Picture 2" descr="A green sign with white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5"/>
                      <a:extLst>
                        <a:ext uri="{FF2B5EF4-FFF2-40B4-BE49-F238E27FC236}">
                          <a16:creationId xmlns:a16="http://schemas.microsoft.com/office/drawing/2014/main" id="{7B94D792-3EDA-514B-9013-055291A7620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706339" cy="5143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02A43" w:rsidRPr="00202A43">
        <w:rPr>
          <w:rFonts w:ascii="Century Gothic" w:hAnsi="Century Gothic"/>
          <w:b/>
          <w:bCs/>
          <w:noProof/>
          <w:color w:val="595959" w:themeColor="text1" w:themeTint="A6"/>
          <w:sz w:val="44"/>
          <w:szCs w:val="44"/>
        </w:rPr>
        <w:t xml:space="preserve">DATA-DRIVEN CASE STUDY </w:t>
      </w:r>
      <w:r w:rsidR="00202A43">
        <w:rPr>
          <w:rFonts w:ascii="Century Gothic" w:hAnsi="Century Gothic"/>
          <w:b/>
          <w:bCs/>
          <w:noProof/>
          <w:color w:val="595959" w:themeColor="text1" w:themeTint="A6"/>
          <w:sz w:val="44"/>
          <w:szCs w:val="44"/>
        </w:rPr>
        <w:br/>
      </w:r>
      <w:r w:rsidR="00202A43" w:rsidRPr="00202A43">
        <w:rPr>
          <w:rFonts w:ascii="Century Gothic" w:hAnsi="Century Gothic"/>
          <w:b/>
          <w:bCs/>
          <w:noProof/>
          <w:color w:val="595959" w:themeColor="text1" w:themeTint="A6"/>
          <w:sz w:val="44"/>
          <w:szCs w:val="44"/>
        </w:rPr>
        <w:t>TEMPLATE</w:t>
      </w:r>
      <w:r w:rsidR="006612E0" w:rsidRPr="00202A43">
        <w:rPr>
          <w:rFonts w:ascii="Century Gothic" w:hAnsi="Century Gothic"/>
          <w:b/>
          <w:bCs/>
          <w:color w:val="595959" w:themeColor="text1" w:themeTint="A6"/>
          <w:sz w:val="44"/>
          <w:szCs w:val="44"/>
        </w:rPr>
        <w:t xml:space="preserve"> EXAMPLE</w:t>
      </w:r>
    </w:p>
    <w:p w14:paraId="198C8B67" w14:textId="7B38EADB"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67456"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3FC4C7FC" w:rsidR="00762D74" w:rsidRDefault="006612E0" w:rsidP="00A108D8">
      <w:pPr>
        <w:ind w:left="6750"/>
        <w:rPr>
          <w:rFonts w:ascii="Century Gothic" w:hAnsi="Century Gothic"/>
          <w:color w:val="2E74B5" w:themeColor="accent5" w:themeShade="BF"/>
          <w:sz w:val="84"/>
          <w:szCs w:val="84"/>
        </w:rPr>
      </w:pPr>
      <w:r>
        <w:rPr>
          <w:rFonts w:ascii="Century Gothic" w:hAnsi="Century Gothic"/>
          <w:color w:val="2E74B5" w:themeColor="accent5" w:themeShade="BF"/>
          <w:sz w:val="64"/>
          <w:szCs w:val="64"/>
        </w:rPr>
        <w:t>POSITIVE CHARGE</w:t>
      </w:r>
    </w:p>
    <w:p w14:paraId="1725B9E6" w14:textId="7F0A8C2B" w:rsidR="00A108D8" w:rsidRDefault="006612E0" w:rsidP="006612E0">
      <w:pPr>
        <w:ind w:left="6840"/>
        <w:rPr>
          <w:rFonts w:ascii="Century Gothic" w:hAnsi="Century Gothic" w:cs="Arial"/>
          <w:color w:val="595959" w:themeColor="text1" w:themeTint="A6"/>
          <w:sz w:val="28"/>
          <w:szCs w:val="28"/>
        </w:rPr>
      </w:pPr>
      <w:r w:rsidRPr="006612E0">
        <w:rPr>
          <w:rFonts w:ascii="Century Gothic" w:hAnsi="Century Gothic" w:cs="Arial"/>
          <w:color w:val="595959" w:themeColor="text1" w:themeTint="A6"/>
          <w:sz w:val="28"/>
          <w:szCs w:val="28"/>
        </w:rPr>
        <w:t>The sample</w:t>
      </w:r>
      <w:r w:rsidR="00307361">
        <w:rPr>
          <w:rFonts w:ascii="Century Gothic" w:hAnsi="Century Gothic" w:cs="Arial"/>
          <w:color w:val="595959" w:themeColor="text1" w:themeTint="A6"/>
          <w:sz w:val="28"/>
          <w:szCs w:val="28"/>
        </w:rPr>
        <w:t xml:space="preserve"> </w:t>
      </w:r>
      <w:r w:rsidRPr="006612E0">
        <w:rPr>
          <w:rFonts w:ascii="Century Gothic" w:hAnsi="Century Gothic" w:cs="Arial"/>
          <w:color w:val="595959" w:themeColor="text1" w:themeTint="A6"/>
          <w:sz w:val="28"/>
          <w:szCs w:val="28"/>
        </w:rPr>
        <w:t xml:space="preserve">text </w:t>
      </w:r>
      <w:r w:rsidR="00307361">
        <w:rPr>
          <w:rFonts w:ascii="Century Gothic" w:hAnsi="Century Gothic" w:cs="Arial"/>
          <w:color w:val="595959" w:themeColor="text1" w:themeTint="A6"/>
          <w:sz w:val="28"/>
          <w:szCs w:val="28"/>
        </w:rPr>
        <w:t>below</w:t>
      </w:r>
      <w:r w:rsidRPr="006612E0">
        <w:rPr>
          <w:rFonts w:ascii="Century Gothic" w:hAnsi="Century Gothic" w:cs="Arial"/>
          <w:color w:val="595959" w:themeColor="text1" w:themeTint="A6"/>
          <w:sz w:val="28"/>
          <w:szCs w:val="28"/>
        </w:rPr>
        <w:t xml:space="preserve"> provide</w:t>
      </w:r>
      <w:r w:rsidR="00307361">
        <w:rPr>
          <w:rFonts w:ascii="Century Gothic" w:hAnsi="Century Gothic" w:cs="Arial"/>
          <w:color w:val="595959" w:themeColor="text1" w:themeTint="A6"/>
          <w:sz w:val="28"/>
          <w:szCs w:val="28"/>
        </w:rPr>
        <w:t>s</w:t>
      </w:r>
      <w:r w:rsidRPr="006612E0">
        <w:rPr>
          <w:rFonts w:ascii="Century Gothic" w:hAnsi="Century Gothic" w:cs="Arial"/>
          <w:color w:val="595959" w:themeColor="text1" w:themeTint="A6"/>
          <w:sz w:val="28"/>
          <w:szCs w:val="28"/>
        </w:rPr>
        <w:t xml:space="preserve"> a structured and detailed </w:t>
      </w:r>
      <w:r w:rsidR="00307361">
        <w:rPr>
          <w:rFonts w:ascii="Century Gothic" w:hAnsi="Century Gothic" w:cs="Arial"/>
          <w:color w:val="595959" w:themeColor="text1" w:themeTint="A6"/>
          <w:sz w:val="28"/>
          <w:szCs w:val="28"/>
        </w:rPr>
        <w:t>articulation</w:t>
      </w:r>
      <w:r w:rsidRPr="006612E0">
        <w:rPr>
          <w:rFonts w:ascii="Century Gothic" w:hAnsi="Century Gothic" w:cs="Arial"/>
          <w:color w:val="595959" w:themeColor="text1" w:themeTint="A6"/>
          <w:sz w:val="28"/>
          <w:szCs w:val="28"/>
        </w:rPr>
        <w:t xml:space="preserve"> of </w:t>
      </w:r>
      <w:r w:rsidR="00307361">
        <w:rPr>
          <w:rFonts w:ascii="Century Gothic" w:hAnsi="Century Gothic" w:cs="Arial"/>
          <w:color w:val="595959" w:themeColor="text1" w:themeTint="A6"/>
          <w:sz w:val="28"/>
          <w:szCs w:val="28"/>
        </w:rPr>
        <w:t>Positive Charge’s</w:t>
      </w:r>
      <w:r w:rsidRPr="006612E0">
        <w:rPr>
          <w:rFonts w:ascii="Century Gothic" w:hAnsi="Century Gothic" w:cs="Arial"/>
          <w:color w:val="595959" w:themeColor="text1" w:themeTint="A6"/>
          <w:sz w:val="28"/>
          <w:szCs w:val="28"/>
        </w:rPr>
        <w:t xml:space="preserve"> marketing case study</w:t>
      </w:r>
      <w:r w:rsidR="00307361">
        <w:rPr>
          <w:rFonts w:ascii="Century Gothic" w:hAnsi="Century Gothic" w:cs="Arial"/>
          <w:color w:val="595959" w:themeColor="text1" w:themeTint="A6"/>
          <w:sz w:val="28"/>
          <w:szCs w:val="28"/>
        </w:rPr>
        <w:t xml:space="preserve">. Using this template, </w:t>
      </w:r>
      <w:r w:rsidR="00B84438">
        <w:rPr>
          <w:rFonts w:ascii="Century Gothic" w:hAnsi="Century Gothic" w:cs="Arial"/>
          <w:color w:val="595959" w:themeColor="text1" w:themeTint="A6"/>
          <w:sz w:val="28"/>
          <w:szCs w:val="28"/>
        </w:rPr>
        <w:t>the company</w:t>
      </w:r>
      <w:r w:rsidR="006D513A">
        <w:rPr>
          <w:rFonts w:ascii="Century Gothic" w:hAnsi="Century Gothic" w:cs="Arial"/>
          <w:color w:val="595959" w:themeColor="text1" w:themeTint="A6"/>
          <w:sz w:val="28"/>
          <w:szCs w:val="28"/>
        </w:rPr>
        <w:t xml:space="preserve"> is</w:t>
      </w:r>
      <w:r w:rsidR="00B84438">
        <w:rPr>
          <w:rFonts w:ascii="Century Gothic" w:hAnsi="Century Gothic" w:cs="Arial"/>
          <w:color w:val="595959" w:themeColor="text1" w:themeTint="A6"/>
          <w:sz w:val="28"/>
          <w:szCs w:val="28"/>
        </w:rPr>
        <w:t xml:space="preserve"> cover</w:t>
      </w:r>
      <w:r w:rsidR="006D513A">
        <w:rPr>
          <w:rFonts w:ascii="Century Gothic" w:hAnsi="Century Gothic" w:cs="Arial"/>
          <w:color w:val="595959" w:themeColor="text1" w:themeTint="A6"/>
          <w:sz w:val="28"/>
          <w:szCs w:val="28"/>
        </w:rPr>
        <w:t>ing</w:t>
      </w:r>
      <w:r w:rsidR="00B84438">
        <w:rPr>
          <w:rFonts w:ascii="Century Gothic" w:hAnsi="Century Gothic" w:cs="Arial"/>
          <w:color w:val="595959" w:themeColor="text1" w:themeTint="A6"/>
          <w:sz w:val="28"/>
          <w:szCs w:val="28"/>
        </w:rPr>
        <w:t xml:space="preserve"> all</w:t>
      </w:r>
      <w:r w:rsidRPr="006612E0">
        <w:rPr>
          <w:rFonts w:ascii="Century Gothic" w:hAnsi="Century Gothic" w:cs="Arial"/>
          <w:color w:val="595959" w:themeColor="text1" w:themeTint="A6"/>
          <w:sz w:val="28"/>
          <w:szCs w:val="28"/>
        </w:rPr>
        <w:t xml:space="preserve"> </w:t>
      </w:r>
      <w:r w:rsidR="00B84438">
        <w:rPr>
          <w:rFonts w:ascii="Century Gothic" w:hAnsi="Century Gothic" w:cs="Arial"/>
          <w:color w:val="595959" w:themeColor="text1" w:themeTint="A6"/>
          <w:sz w:val="28"/>
          <w:szCs w:val="28"/>
        </w:rPr>
        <w:t xml:space="preserve">the </w:t>
      </w:r>
      <w:r w:rsidRPr="006612E0">
        <w:rPr>
          <w:rFonts w:ascii="Century Gothic" w:hAnsi="Century Gothic" w:cs="Arial"/>
          <w:color w:val="595959" w:themeColor="text1" w:themeTint="A6"/>
          <w:sz w:val="28"/>
          <w:szCs w:val="28"/>
        </w:rPr>
        <w:t xml:space="preserve">essential elements </w:t>
      </w:r>
      <w:r w:rsidR="00B84438">
        <w:rPr>
          <w:rFonts w:ascii="Century Gothic" w:hAnsi="Century Gothic" w:cs="Arial"/>
          <w:color w:val="595959" w:themeColor="text1" w:themeTint="A6"/>
          <w:sz w:val="28"/>
          <w:szCs w:val="28"/>
        </w:rPr>
        <w:t xml:space="preserve">of its study </w:t>
      </w:r>
      <w:r w:rsidRPr="006612E0">
        <w:rPr>
          <w:rFonts w:ascii="Century Gothic" w:hAnsi="Century Gothic" w:cs="Arial"/>
          <w:color w:val="595959" w:themeColor="text1" w:themeTint="A6"/>
          <w:sz w:val="28"/>
          <w:szCs w:val="28"/>
        </w:rPr>
        <w:t xml:space="preserve">in a clear and organized manner. </w:t>
      </w:r>
      <w:r w:rsidR="00B84438">
        <w:rPr>
          <w:rFonts w:ascii="Century Gothic" w:hAnsi="Century Gothic" w:cs="Arial"/>
          <w:color w:val="595959" w:themeColor="text1" w:themeTint="A6"/>
          <w:sz w:val="28"/>
          <w:szCs w:val="28"/>
        </w:rPr>
        <w:t xml:space="preserve">The completed document </w:t>
      </w:r>
      <w:r w:rsidRPr="006612E0">
        <w:rPr>
          <w:rFonts w:ascii="Century Gothic" w:hAnsi="Century Gothic" w:cs="Arial"/>
          <w:color w:val="595959" w:themeColor="text1" w:themeTint="A6"/>
          <w:sz w:val="28"/>
          <w:szCs w:val="28"/>
        </w:rPr>
        <w:t>empower</w:t>
      </w:r>
      <w:r w:rsidR="006D513A">
        <w:rPr>
          <w:rFonts w:ascii="Century Gothic" w:hAnsi="Century Gothic" w:cs="Arial"/>
          <w:color w:val="595959" w:themeColor="text1" w:themeTint="A6"/>
          <w:sz w:val="28"/>
          <w:szCs w:val="28"/>
        </w:rPr>
        <w:t>s</w:t>
      </w:r>
      <w:r w:rsidRPr="006612E0">
        <w:rPr>
          <w:rFonts w:ascii="Century Gothic" w:hAnsi="Century Gothic" w:cs="Arial"/>
          <w:color w:val="595959" w:themeColor="text1" w:themeTint="A6"/>
          <w:sz w:val="28"/>
          <w:szCs w:val="28"/>
        </w:rPr>
        <w:t xml:space="preserve"> </w:t>
      </w:r>
      <w:r w:rsidR="00B84438">
        <w:rPr>
          <w:rFonts w:ascii="Century Gothic" w:hAnsi="Century Gothic" w:cs="Arial"/>
          <w:color w:val="595959" w:themeColor="text1" w:themeTint="A6"/>
          <w:sz w:val="28"/>
          <w:szCs w:val="28"/>
        </w:rPr>
        <w:t xml:space="preserve">Positive Charge to </w:t>
      </w:r>
      <w:r w:rsidRPr="006612E0">
        <w:rPr>
          <w:rFonts w:ascii="Century Gothic" w:hAnsi="Century Gothic" w:cs="Arial"/>
          <w:color w:val="595959" w:themeColor="text1" w:themeTint="A6"/>
          <w:sz w:val="28"/>
          <w:szCs w:val="28"/>
        </w:rPr>
        <w:t>showcas</w:t>
      </w:r>
      <w:r w:rsidR="00B84438">
        <w:rPr>
          <w:rFonts w:ascii="Century Gothic" w:hAnsi="Century Gothic" w:cs="Arial"/>
          <w:color w:val="595959" w:themeColor="text1" w:themeTint="A6"/>
          <w:sz w:val="28"/>
          <w:szCs w:val="28"/>
        </w:rPr>
        <w:t>e</w:t>
      </w:r>
      <w:r w:rsidRPr="006612E0">
        <w:rPr>
          <w:rFonts w:ascii="Century Gothic" w:hAnsi="Century Gothic" w:cs="Arial"/>
          <w:color w:val="595959" w:themeColor="text1" w:themeTint="A6"/>
          <w:sz w:val="28"/>
          <w:szCs w:val="28"/>
        </w:rPr>
        <w:t xml:space="preserve"> </w:t>
      </w:r>
      <w:r w:rsidR="00B84438">
        <w:rPr>
          <w:rFonts w:ascii="Century Gothic" w:hAnsi="Century Gothic" w:cs="Arial"/>
          <w:color w:val="595959" w:themeColor="text1" w:themeTint="A6"/>
          <w:sz w:val="28"/>
          <w:szCs w:val="28"/>
        </w:rPr>
        <w:t>its</w:t>
      </w:r>
      <w:r w:rsidRPr="006612E0">
        <w:rPr>
          <w:rFonts w:ascii="Century Gothic" w:hAnsi="Century Gothic" w:cs="Arial"/>
          <w:color w:val="595959" w:themeColor="text1" w:themeTint="A6"/>
          <w:sz w:val="28"/>
          <w:szCs w:val="28"/>
        </w:rPr>
        <w:t xml:space="preserve"> success and expertise in the </w:t>
      </w:r>
      <w:r w:rsidR="00B84438">
        <w:rPr>
          <w:rFonts w:ascii="Century Gothic" w:hAnsi="Century Gothic" w:cs="Arial"/>
          <w:color w:val="595959" w:themeColor="text1" w:themeTint="A6"/>
          <w:sz w:val="28"/>
          <w:szCs w:val="28"/>
        </w:rPr>
        <w:t>electric vehicle (</w:t>
      </w:r>
      <w:r w:rsidRPr="006612E0">
        <w:rPr>
          <w:rFonts w:ascii="Century Gothic" w:hAnsi="Century Gothic" w:cs="Arial"/>
          <w:color w:val="595959" w:themeColor="text1" w:themeTint="A6"/>
          <w:sz w:val="28"/>
          <w:szCs w:val="28"/>
        </w:rPr>
        <w:t>EV</w:t>
      </w:r>
      <w:r w:rsidR="00B84438">
        <w:rPr>
          <w:rFonts w:ascii="Century Gothic" w:hAnsi="Century Gothic" w:cs="Arial"/>
          <w:color w:val="595959" w:themeColor="text1" w:themeTint="A6"/>
          <w:sz w:val="28"/>
          <w:szCs w:val="28"/>
        </w:rPr>
        <w:t>)</w:t>
      </w:r>
      <w:r w:rsidRPr="006612E0">
        <w:rPr>
          <w:rFonts w:ascii="Century Gothic" w:hAnsi="Century Gothic" w:cs="Arial"/>
          <w:color w:val="595959" w:themeColor="text1" w:themeTint="A6"/>
          <w:sz w:val="28"/>
          <w:szCs w:val="28"/>
        </w:rPr>
        <w:t xml:space="preserve"> charging industry, while providing readers with valuable insights, problem-solving solutions, and inspiration for their own operations, ultimately fostering collaboration and growth within the industry.</w:t>
      </w:r>
    </w:p>
    <w:p w14:paraId="28287C8F" w14:textId="77777777" w:rsidR="006612E0" w:rsidRDefault="006612E0"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AA61417" w:rsidR="00823C0E" w:rsidRPr="00E327DC" w:rsidRDefault="00894B23"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szCs w:val="24"/>
              </w:rPr>
              <w:t xml:space="preserve">CASE STUDY </w:t>
            </w:r>
            <w:r w:rsidR="00823C0E" w:rsidRPr="00E327DC">
              <w:rPr>
                <w:rFonts w:ascii="Century Gothic" w:hAnsi="Century Gothic"/>
                <w:color w:val="2E74B5" w:themeColor="accent5" w:themeShade="BF"/>
                <w:sz w:val="24"/>
                <w:szCs w:val="24"/>
              </w:rPr>
              <w:t>TITLE</w:t>
            </w:r>
          </w:p>
        </w:tc>
        <w:tc>
          <w:tcPr>
            <w:tcW w:w="10710" w:type="dxa"/>
            <w:shd w:val="clear" w:color="auto" w:fill="F2F2F2" w:themeFill="background1" w:themeFillShade="F2"/>
            <w:vAlign w:val="center"/>
          </w:tcPr>
          <w:p w14:paraId="08354BA8" w14:textId="15BA11F8" w:rsidR="00823C0E" w:rsidRPr="00E327DC" w:rsidRDefault="006612E0">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Case Study: Positive Charge</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sidRPr="00E327DC">
              <w:rPr>
                <w:rFonts w:ascii="Century Gothic" w:hAnsi="Century Gothic"/>
                <w:color w:val="2E74B5" w:themeColor="accent5" w:themeShade="BF"/>
                <w:sz w:val="24"/>
                <w:szCs w:val="24"/>
              </w:rPr>
              <w:t>AUTHORED BY</w:t>
            </w:r>
          </w:p>
        </w:tc>
        <w:tc>
          <w:tcPr>
            <w:tcW w:w="10710" w:type="dxa"/>
            <w:shd w:val="clear" w:color="auto" w:fill="F2F2F2" w:themeFill="background1" w:themeFillShade="F2"/>
            <w:vAlign w:val="center"/>
          </w:tcPr>
          <w:p w14:paraId="3AB520FC" w14:textId="642530BF" w:rsidR="00823C0E" w:rsidRPr="00E327DC" w:rsidRDefault="006612E0" w:rsidP="00E327DC">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Petra D.</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sidRPr="00E327DC">
              <w:rPr>
                <w:rFonts w:ascii="Century Gothic" w:hAnsi="Century Gothic"/>
                <w:color w:val="2E74B5" w:themeColor="accent5" w:themeShade="BF"/>
                <w:sz w:val="24"/>
                <w:szCs w:val="24"/>
              </w:rPr>
              <w:t>DATE</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sidRPr="00E327DC">
              <w:rPr>
                <w:rFonts w:ascii="Century Gothic" w:hAnsi="Century Gothic"/>
                <w:color w:val="595959" w:themeColor="text1" w:themeTint="A6"/>
                <w:sz w:val="24"/>
                <w:szCs w:val="24"/>
              </w:rPr>
              <w:t>MM/DD/YY</w:t>
            </w:r>
          </w:p>
        </w:tc>
      </w:tr>
    </w:tbl>
    <w:p w14:paraId="7A2D2479" w14:textId="2A8D30CE" w:rsidR="00E327DC" w:rsidRDefault="00E327DC">
      <w:pPr>
        <w:rPr>
          <w:rFonts w:ascii="Century Gothic" w:hAnsi="Century Gothic"/>
          <w:b/>
          <w:bCs/>
          <w:color w:val="595959" w:themeColor="text1" w:themeTint="A6"/>
          <w:sz w:val="24"/>
          <w:szCs w:val="24"/>
        </w:rPr>
      </w:pPr>
    </w:p>
    <w:p w14:paraId="26A71C76" w14:textId="5CB06FF4" w:rsidR="00202A43" w:rsidRDefault="00202A43" w:rsidP="00EB45FB">
      <w:pPr>
        <w:pStyle w:val="ListParagraph"/>
        <w:ind w:left="2250"/>
        <w:rPr>
          <w:rFonts w:ascii="Century Gothic" w:hAnsi="Century Gothic"/>
          <w:color w:val="BF8F00" w:themeColor="accent4" w:themeShade="BF"/>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395"/>
        <w:gridCol w:w="338"/>
        <w:gridCol w:w="1456"/>
        <w:gridCol w:w="1456"/>
        <w:gridCol w:w="1456"/>
        <w:gridCol w:w="272"/>
      </w:tblGrid>
      <w:tr w:rsidR="00ED4C82" w:rsidRPr="00ED4C82" w14:paraId="4543B343"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t>Executive Summary</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sidRPr="00ED4C82">
              <w:rPr>
                <w:rFonts w:ascii="Century Gothic" w:eastAsia="Times New Roman" w:hAnsi="Century Gothic" w:cs="Calibri"/>
                <w:color w:val="000000"/>
                <w:kern w:val="0"/>
                <w:sz w:val="20"/>
                <w:szCs w:val="20"/>
                <w14:ligatures w14:val="none"/>
              </w:rPr>
              <w:t>In this case study, we present the successful journey of Positive Charge, an industry-leading provider of EV charging solutions, in transforming the charging operations of an EV fleet management company. This case outlines the challenges that the customer faced, our approach to those challenges, and the noteworthy results we achieved.</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sidRPr="00ED4C82">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r>
      <w:tr w:rsidR="00ED4C82" w:rsidRPr="00ED4C82" w14:paraId="7EE00CCF"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t>Introduction</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sidRPr="00ED4C82">
              <w:rPr>
                <w:rFonts w:ascii="Century Gothic" w:eastAsia="Times New Roman" w:hAnsi="Century Gothic" w:cs="Calibri"/>
                <w:color w:val="000000"/>
                <w:kern w:val="0"/>
                <w:sz w:val="20"/>
                <w:szCs w:val="20"/>
                <w14:ligatures w14:val="none"/>
              </w:rPr>
              <w:t>EMPOWERING EV FLEET OPERATIONS: The introduction sets the context for our case study. It delves into the world of EV fleets and the critical role of efficient charging infrastructure. Positive Charge, a trusted partner in EV charging solutions, collaborated with a forward-thinking EV fleet management company to address their charging challenges.</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sidRPr="00ED4C82">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sidRPr="00ED4C82">
              <w:rPr>
                <w:rFonts w:ascii="Century Gothic" w:eastAsia="Times New Roman" w:hAnsi="Century Gothic" w:cs="Calibri"/>
                <w:kern w:val="0"/>
                <w:sz w:val="20"/>
                <w:szCs w:val="20"/>
                <w14:ligatures w14:val="none"/>
              </w:rPr>
              <w:t> </w:t>
            </w:r>
          </w:p>
        </w:tc>
      </w:tr>
      <w:tr w:rsidR="00ED4C82" w:rsidRPr="00ED4C82" w14:paraId="516C14E4"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sidRPr="00ED4C82">
              <w:rPr>
                <w:rFonts w:ascii="Century Gothic" w:eastAsia="Times New Roman" w:hAnsi="Century Gothic" w:cs="Calibri"/>
                <w:color w:val="FFFFFF"/>
                <w:kern w:val="0"/>
                <w:sz w:val="28"/>
                <w:szCs w:val="28"/>
                <w14:ligatures w14:val="none"/>
              </w:rPr>
              <w:t xml:space="preserve">Statement </w:t>
            </w:r>
            <w:r w:rsidRPr="00ED4C82">
              <w:rPr>
                <w:rFonts w:ascii="Century Gothic" w:eastAsia="Times New Roman" w:hAnsi="Century Gothic" w:cs="Calibri"/>
                <w:color w:val="FFFFFF"/>
                <w:kern w:val="0"/>
                <w:sz w:val="28"/>
                <w:szCs w:val="28"/>
                <w14:ligatures w14:val="none"/>
              </w:rPr>
              <w:br/>
              <w:t>of the Problem</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sidRPr="00ED4C82">
              <w:rPr>
                <w:rFonts w:ascii="Century Gothic" w:eastAsia="Times New Roman" w:hAnsi="Century Gothic" w:cs="Calibri"/>
                <w:color w:val="000000"/>
                <w:kern w:val="0"/>
                <w:sz w:val="20"/>
                <w:szCs w:val="20"/>
                <w14:ligatures w14:val="none"/>
              </w:rPr>
              <w:t>ADDRESSING CHARGING BOTTLENECKS: The case study begins by defining the problem at hand. The EV fleet management company faced a daunting challenge: Its rapidly growing EV fleet with limited infrastructure was giving way to charging bottlenecks. These bottlenecks were, in turn, causing increased downtime, thus, impacting operational efficiency and incurring unnecessary costs.</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4CAA1DD" w14:textId="47428D5F" w:rsidR="00202A43" w:rsidRDefault="00202A43" w:rsidP="00EB45FB">
      <w:pPr>
        <w:pStyle w:val="ListParagraph"/>
        <w:ind w:left="2250"/>
        <w:rPr>
          <w:rFonts w:ascii="Century Gothic" w:hAnsi="Century Gothic"/>
          <w:color w:val="BF8F00" w:themeColor="accent4" w:themeShade="BF"/>
          <w:sz w:val="24"/>
          <w:szCs w:val="24"/>
        </w:rPr>
      </w:pPr>
    </w:p>
    <w:tbl>
      <w:tblPr>
        <w:tblW w:w="19062"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516605">
        <w:trPr>
          <w:gridAfter w:val="4"/>
          <w:wAfter w:w="459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sidRPr="00516605">
              <w:rPr>
                <w:rFonts w:ascii="Century Gothic" w:eastAsia="Times New Roman" w:hAnsi="Century Gothic" w:cs="Calibri"/>
                <w:color w:val="FFFFFF"/>
                <w:kern w:val="0"/>
                <w:sz w:val="28"/>
                <w:szCs w:val="28"/>
                <w14:ligatures w14:val="none"/>
              </w:rPr>
              <w:t xml:space="preserve">Decision Criteria </w:t>
            </w:r>
            <w:r w:rsidRPr="00516605">
              <w:rPr>
                <w:rFonts w:ascii="Century Gothic" w:eastAsia="Times New Roman" w:hAnsi="Century Gothic" w:cs="Calibri"/>
                <w:color w:val="FFFFFF"/>
                <w:kern w:val="0"/>
                <w:sz w:val="28"/>
                <w:szCs w:val="28"/>
                <w14:ligatures w14:val="none"/>
              </w:rPr>
              <w:br/>
              <w:t>and Assumptions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sidRPr="00516605">
              <w:rPr>
                <w:rFonts w:ascii="Century Gothic" w:eastAsia="Times New Roman" w:hAnsi="Century Gothic" w:cs="Calibri"/>
                <w:color w:val="000000"/>
                <w:kern w:val="0"/>
                <w:sz w:val="20"/>
                <w:szCs w:val="20"/>
                <w14:ligatures w14:val="none"/>
              </w:rPr>
              <w:t>GUIDING THE PATH FORWARD: Our decision criteria for evaluating alternatives were centered on minimizing charging-related downtime, optimizing operational costs, and ensuring scalability. Assumptions included the availability of necessary resources and the commitment to implementing the chosen solution effectively.</w:t>
            </w:r>
          </w:p>
        </w:tc>
      </w:tr>
      <w:tr w:rsidR="00516605" w:rsidRPr="00516605" w14:paraId="6AEB19B9" w14:textId="77777777" w:rsidTr="00516605">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sidRPr="00516605">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sidRPr="00516605">
              <w:rPr>
                <w:rFonts w:ascii="Century Gothic" w:eastAsia="Times New Roman" w:hAnsi="Century Gothic" w:cs="Calibri"/>
                <w:kern w:val="0"/>
                <w:sz w:val="20"/>
                <w:szCs w:val="20"/>
                <w14:ligatures w14:val="none"/>
              </w:rPr>
              <w:t> </w:t>
            </w:r>
          </w:p>
        </w:tc>
      </w:tr>
      <w:tr w:rsidR="00516605" w:rsidRPr="00516605" w14:paraId="64603275" w14:textId="77777777" w:rsidTr="00516605">
        <w:trPr>
          <w:gridAfter w:val="4"/>
          <w:wAfter w:w="4598"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sidRPr="00516605">
              <w:rPr>
                <w:rFonts w:ascii="Century Gothic" w:eastAsia="Times New Roman" w:hAnsi="Century Gothic" w:cs="Calibri"/>
                <w:color w:val="FFFFFF"/>
                <w:kern w:val="0"/>
                <w:sz w:val="28"/>
                <w:szCs w:val="28"/>
                <w14:ligatures w14:val="none"/>
              </w:rPr>
              <w:t>Data Analysis</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sidRPr="00516605">
              <w:rPr>
                <w:rFonts w:ascii="Century Gothic" w:eastAsia="Times New Roman" w:hAnsi="Century Gothic" w:cs="Calibri"/>
                <w:color w:val="000000"/>
                <w:kern w:val="0"/>
                <w:sz w:val="20"/>
                <w:szCs w:val="20"/>
                <w14:ligatures w14:val="none"/>
              </w:rPr>
              <w:t>ILLUMINATING INSIGHTS: This section presents a detailed analysis of the data we collected during the case study. It includes charts, graphs, and narratives that reveal insights into charging patterns, fleet growth, and the fiscal impact of charging challenges.</w:t>
            </w:r>
          </w:p>
        </w:tc>
      </w:tr>
      <w:tr w:rsidR="00516605" w:rsidRPr="00516605" w14:paraId="37F75B15" w14:textId="77777777" w:rsidTr="00516605">
        <w:trPr>
          <w:gridAfter w:val="4"/>
          <w:wAfter w:w="4598"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71552"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9">
                            <a:extLst>
                              <a:ext uri="{96DAC541-7B7A-43D3-8B79-37D633B846F1}">
                                <asvg:svgBlip xmlns:asvg="http://schemas.microsoft.com/office/drawing/2016/SVG/main" r:embed="rId10"/>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516605" w:rsidRPr="00516605">
              <w:rPr>
                <w:rFonts w:ascii="Century Gothic" w:eastAsia="Times New Roman" w:hAnsi="Century Gothic" w:cs="Calibri"/>
                <w:i/>
                <w:iCs/>
                <w:color w:val="BF8F00"/>
                <w:kern w:val="0"/>
                <w14:ligatures w14:val="none"/>
              </w:rPr>
              <w:t>Use this area to add your own Tables, Charts, and Graphics to illustrate your data analysis for this case study.</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862" w:type="dxa"/>
        <w:tblLook w:val="04A0" w:firstRow="1" w:lastRow="0" w:firstColumn="1" w:lastColumn="0" w:noHBand="0" w:noVBand="1"/>
      </w:tblPr>
      <w:tblGrid>
        <w:gridCol w:w="400"/>
        <w:gridCol w:w="3520"/>
        <w:gridCol w:w="2209"/>
        <w:gridCol w:w="1465"/>
        <w:gridCol w:w="1454"/>
        <w:gridCol w:w="1454"/>
        <w:gridCol w:w="1454"/>
        <w:gridCol w:w="1454"/>
        <w:gridCol w:w="1080"/>
        <w:gridCol w:w="374"/>
        <w:gridCol w:w="26"/>
        <w:gridCol w:w="1428"/>
        <w:gridCol w:w="1454"/>
        <w:gridCol w:w="1454"/>
        <w:gridCol w:w="272"/>
        <w:gridCol w:w="400"/>
      </w:tblGrid>
      <w:tr w:rsidR="0046604E" w:rsidRPr="0046604E" w14:paraId="05325787"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4D54F476" w14:textId="77777777" w:rsidR="0046604E" w:rsidRPr="0046604E" w:rsidRDefault="0046604E" w:rsidP="0046604E">
            <w:pPr>
              <w:spacing w:after="0" w:line="240" w:lineRule="auto"/>
              <w:rPr>
                <w:rFonts w:ascii="Times New Roman" w:eastAsia="Times New Roman" w:hAnsi="Times New Roman" w:cs="Times New Roman"/>
                <w:kern w:val="0"/>
                <w:sz w:val="24"/>
                <w:szCs w:val="24"/>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Alternative Courses of Action</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sidRPr="0046604E">
              <w:rPr>
                <w:rFonts w:ascii="Century Gothic" w:eastAsia="Times New Roman" w:hAnsi="Century Gothic" w:cs="Calibri"/>
                <w:color w:val="000000"/>
                <w:kern w:val="0"/>
                <w:sz w:val="20"/>
                <w:szCs w:val="20"/>
                <w14:ligatures w14:val="none"/>
              </w:rPr>
              <w:t>EXPLORING SOLUTIONS: We considered several alternative courses of action, including expanding charging infrastructure, optimizing charging schedules, and implementing smart charging technology. We evaluated each option thoroughly, considering its feasibility and potential impact.</w:t>
            </w:r>
          </w:p>
        </w:tc>
        <w:tc>
          <w:tcPr>
            <w:tcW w:w="400" w:type="dxa"/>
            <w:gridSpan w:val="2"/>
            <w:tcBorders>
              <w:top w:val="nil"/>
              <w:left w:val="nil"/>
              <w:bottom w:val="nil"/>
              <w:right w:val="nil"/>
            </w:tcBorders>
            <w:shd w:val="clear" w:color="000000" w:fill="FFFFFF"/>
            <w:noWrap/>
            <w:vAlign w:val="center"/>
            <w:hideMark/>
          </w:tcPr>
          <w:p w14:paraId="5405FFC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3D30BDDA" w14:textId="77777777" w:rsidTr="0046604E">
        <w:trPr>
          <w:trHeight w:val="240"/>
        </w:trPr>
        <w:tc>
          <w:tcPr>
            <w:tcW w:w="400" w:type="dxa"/>
            <w:tcBorders>
              <w:top w:val="nil"/>
              <w:left w:val="nil"/>
              <w:bottom w:val="nil"/>
              <w:right w:val="nil"/>
            </w:tcBorders>
            <w:shd w:val="clear" w:color="auto" w:fill="auto"/>
            <w:noWrap/>
            <w:vAlign w:val="bottom"/>
            <w:hideMark/>
          </w:tcPr>
          <w:p w14:paraId="77548E8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01ED1C54"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27DEB0A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52BF5E5"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28505BF"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43A22A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2550A90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2271402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6DB693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104C0B3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057462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F2BF63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400" w:type="dxa"/>
            <w:tcBorders>
              <w:top w:val="nil"/>
              <w:left w:val="nil"/>
              <w:bottom w:val="nil"/>
              <w:right w:val="nil"/>
            </w:tcBorders>
            <w:shd w:val="clear" w:color="000000" w:fill="FFFFFF"/>
            <w:noWrap/>
            <w:vAlign w:val="center"/>
            <w:hideMark/>
          </w:tcPr>
          <w:p w14:paraId="1491ECA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726A9EB8"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11F01F5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Recommendations</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sidRPr="0046604E">
              <w:rPr>
                <w:rFonts w:ascii="Century Gothic" w:eastAsia="Times New Roman" w:hAnsi="Century Gothic" w:cs="Calibri"/>
                <w:color w:val="000000"/>
                <w:kern w:val="0"/>
                <w:sz w:val="20"/>
                <w:szCs w:val="20"/>
                <w14:ligatures w14:val="none"/>
              </w:rPr>
              <w:t>TRANSFORMING CHARGING OPERATIONS: Based on the comprehensive analysis, we recommend implementing an integrated charging solution that includes infrastructure expansion, smart charging technology, and optimized charging schedules. This holistic approach will effectively address charging bottlenecks and drive operational efficiency.</w:t>
            </w:r>
          </w:p>
        </w:tc>
        <w:tc>
          <w:tcPr>
            <w:tcW w:w="400" w:type="dxa"/>
            <w:gridSpan w:val="2"/>
            <w:tcBorders>
              <w:top w:val="nil"/>
              <w:left w:val="nil"/>
              <w:bottom w:val="nil"/>
              <w:right w:val="nil"/>
            </w:tcBorders>
            <w:shd w:val="clear" w:color="000000" w:fill="FFFFFF"/>
            <w:noWrap/>
            <w:vAlign w:val="center"/>
            <w:hideMark/>
          </w:tcPr>
          <w:p w14:paraId="2AD2C209"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010E7FC1" w14:textId="77777777" w:rsidTr="0046604E">
        <w:trPr>
          <w:trHeight w:val="240"/>
        </w:trPr>
        <w:tc>
          <w:tcPr>
            <w:tcW w:w="400" w:type="dxa"/>
            <w:tcBorders>
              <w:top w:val="nil"/>
              <w:left w:val="nil"/>
              <w:bottom w:val="nil"/>
              <w:right w:val="nil"/>
            </w:tcBorders>
            <w:shd w:val="clear" w:color="auto" w:fill="auto"/>
            <w:noWrap/>
            <w:vAlign w:val="bottom"/>
            <w:hideMark/>
          </w:tcPr>
          <w:p w14:paraId="7F57F5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nil"/>
              <w:left w:val="nil"/>
              <w:bottom w:val="nil"/>
              <w:right w:val="nil"/>
            </w:tcBorders>
            <w:shd w:val="clear" w:color="auto" w:fill="auto"/>
            <w:noWrap/>
            <w:vAlign w:val="bottom"/>
            <w:hideMark/>
          </w:tcPr>
          <w:p w14:paraId="6C78B900" w14:textId="77777777" w:rsidR="0046604E" w:rsidRPr="0046604E" w:rsidRDefault="0046604E"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65" w:type="dxa"/>
            <w:tcBorders>
              <w:top w:val="nil"/>
              <w:left w:val="nil"/>
              <w:bottom w:val="nil"/>
              <w:right w:val="nil"/>
            </w:tcBorders>
            <w:shd w:val="clear" w:color="000000" w:fill="FFFFFF"/>
            <w:noWrap/>
            <w:vAlign w:val="center"/>
            <w:hideMark/>
          </w:tcPr>
          <w:p w14:paraId="2A801370"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0E768423"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73B7DB06"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6F5A6ABD"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7ABDD4B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5F96344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gridSpan w:val="2"/>
            <w:tcBorders>
              <w:top w:val="nil"/>
              <w:left w:val="nil"/>
              <w:bottom w:val="nil"/>
              <w:right w:val="nil"/>
            </w:tcBorders>
            <w:shd w:val="clear" w:color="000000" w:fill="FFFFFF"/>
            <w:noWrap/>
            <w:vAlign w:val="center"/>
            <w:hideMark/>
          </w:tcPr>
          <w:p w14:paraId="2060E38F"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4006B5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4" w:type="dxa"/>
            <w:tcBorders>
              <w:top w:val="nil"/>
              <w:left w:val="nil"/>
              <w:bottom w:val="nil"/>
              <w:right w:val="nil"/>
            </w:tcBorders>
            <w:shd w:val="clear" w:color="000000" w:fill="FFFFFF"/>
            <w:noWrap/>
            <w:vAlign w:val="center"/>
            <w:hideMark/>
          </w:tcPr>
          <w:p w14:paraId="5C650D7A"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2BC2F35D"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400" w:type="dxa"/>
            <w:tcBorders>
              <w:top w:val="nil"/>
              <w:left w:val="nil"/>
              <w:bottom w:val="nil"/>
              <w:right w:val="nil"/>
            </w:tcBorders>
            <w:shd w:val="clear" w:color="000000" w:fill="FFFFFF"/>
            <w:noWrap/>
            <w:vAlign w:val="center"/>
            <w:hideMark/>
          </w:tcPr>
          <w:p w14:paraId="70FEFBC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0C11CAF5" w14:textId="77777777" w:rsidTr="0046604E">
        <w:trPr>
          <w:gridAfter w:val="5"/>
          <w:wAfter w:w="4972" w:type="dxa"/>
          <w:trHeight w:val="2400"/>
        </w:trPr>
        <w:tc>
          <w:tcPr>
            <w:tcW w:w="400" w:type="dxa"/>
            <w:tcBorders>
              <w:top w:val="nil"/>
              <w:left w:val="nil"/>
              <w:bottom w:val="nil"/>
              <w:right w:val="nil"/>
            </w:tcBorders>
            <w:shd w:val="clear" w:color="auto" w:fill="auto"/>
            <w:noWrap/>
            <w:vAlign w:val="bottom"/>
            <w:hideMark/>
          </w:tcPr>
          <w:p w14:paraId="2447BCE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p>
        </w:tc>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Implementation Plan</w:t>
            </w:r>
          </w:p>
        </w:tc>
        <w:tc>
          <w:tcPr>
            <w:tcW w:w="10570"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sidRPr="0046604E">
              <w:rPr>
                <w:rFonts w:ascii="Century Gothic" w:eastAsia="Times New Roman" w:hAnsi="Century Gothic" w:cs="Calibri"/>
                <w:color w:val="000000"/>
                <w:kern w:val="0"/>
                <w:sz w:val="20"/>
                <w:szCs w:val="20"/>
                <w14:ligatures w14:val="none"/>
              </w:rPr>
              <w:t>TURNING VISION INTO REALITY: The implementation plan outlines a step-by-step strategy to bring our recommendations to life. It includes timelines, responsibilities, budget considerations, and risk mitigation strategies.</w:t>
            </w:r>
          </w:p>
        </w:tc>
        <w:tc>
          <w:tcPr>
            <w:tcW w:w="400" w:type="dxa"/>
            <w:gridSpan w:val="2"/>
            <w:tcBorders>
              <w:top w:val="nil"/>
              <w:left w:val="nil"/>
              <w:bottom w:val="nil"/>
              <w:right w:val="nil"/>
            </w:tcBorders>
            <w:shd w:val="clear" w:color="000000" w:fill="FFFFFF"/>
            <w:noWrap/>
            <w:vAlign w:val="center"/>
            <w:hideMark/>
          </w:tcPr>
          <w:p w14:paraId="19206D67"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60" w:type="dxa"/>
        <w:tblLook w:val="04A0" w:firstRow="1" w:lastRow="0" w:firstColumn="1" w:lastColumn="0" w:noHBand="0" w:noVBand="1"/>
      </w:tblPr>
      <w:tblGrid>
        <w:gridCol w:w="3520"/>
        <w:gridCol w:w="2196"/>
        <w:gridCol w:w="1457"/>
        <w:gridCol w:w="1457"/>
        <w:gridCol w:w="1457"/>
        <w:gridCol w:w="1457"/>
        <w:gridCol w:w="1456"/>
        <w:gridCol w:w="1456"/>
        <w:gridCol w:w="119"/>
        <w:gridCol w:w="1337"/>
        <w:gridCol w:w="1456"/>
        <w:gridCol w:w="1456"/>
        <w:gridCol w:w="272"/>
      </w:tblGrid>
      <w:tr w:rsidR="0046604E" w:rsidRPr="0046604E" w14:paraId="60773752"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lastRenderedPageBreak/>
              <w:t>Exhibits and Schedules</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A3D65CD"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sidRPr="0046604E">
              <w:rPr>
                <w:rFonts w:ascii="Century Gothic" w:eastAsia="Times New Roman" w:hAnsi="Century Gothic" w:cs="Calibri"/>
                <w:color w:val="000000"/>
                <w:kern w:val="0"/>
                <w:sz w:val="20"/>
                <w:szCs w:val="20"/>
                <w14:ligatures w14:val="none"/>
              </w:rPr>
              <w:t>VISUALIZING THE JOURNEY:</w:t>
            </w:r>
            <w:r w:rsidRPr="0046604E">
              <w:rPr>
                <w:rFonts w:ascii="Century Gothic" w:eastAsia="Times New Roman" w:hAnsi="Century Gothic" w:cs="Calibri"/>
                <w:color w:val="000000"/>
                <w:kern w:val="0"/>
                <w:sz w:val="20"/>
                <w:szCs w:val="20"/>
                <w14:ligatures w14:val="none"/>
              </w:rPr>
              <w:br/>
              <w:t>Exhibit A: Charging Infrastructure Expansion Plan</w:t>
            </w:r>
            <w:r w:rsidRPr="0046604E">
              <w:rPr>
                <w:rFonts w:ascii="Century Gothic" w:eastAsia="Times New Roman" w:hAnsi="Century Gothic" w:cs="Calibri"/>
                <w:color w:val="000000"/>
                <w:kern w:val="0"/>
                <w:sz w:val="20"/>
                <w:szCs w:val="20"/>
                <w14:ligatures w14:val="none"/>
              </w:rPr>
              <w:br/>
              <w:t>Exhibit B: Charging Optimization Schedule</w:t>
            </w:r>
            <w:r w:rsidRPr="0046604E">
              <w:rPr>
                <w:rFonts w:ascii="Century Gothic" w:eastAsia="Times New Roman" w:hAnsi="Century Gothic" w:cs="Calibri"/>
                <w:color w:val="000000"/>
                <w:kern w:val="0"/>
                <w:sz w:val="20"/>
                <w:szCs w:val="20"/>
                <w14:ligatures w14:val="none"/>
              </w:rPr>
              <w:br/>
              <w:t>Exhibit C: Smart Charging Technology Overview</w:t>
            </w:r>
            <w:r w:rsidRPr="0046604E">
              <w:rPr>
                <w:rFonts w:ascii="Century Gothic" w:eastAsia="Times New Roman" w:hAnsi="Century Gothic" w:cs="Calibri"/>
                <w:color w:val="000000"/>
                <w:kern w:val="0"/>
                <w:sz w:val="20"/>
                <w:szCs w:val="20"/>
                <w14:ligatures w14:val="none"/>
              </w:rPr>
              <w:br/>
              <w:t>Exhibit D: Risk Mitigation Plan</w:t>
            </w:r>
          </w:p>
        </w:tc>
      </w:tr>
      <w:tr w:rsidR="0046604E" w:rsidRPr="0046604E" w14:paraId="5945AF2B" w14:textId="77777777" w:rsidTr="0046604E">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196"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sidRPr="0046604E">
              <w:rPr>
                <w:rFonts w:ascii="Century Gothic" w:eastAsia="Times New Roman" w:hAnsi="Century Gothic" w:cs="Calibri"/>
                <w:color w:val="806000"/>
                <w:kern w:val="0"/>
                <w:sz w:val="36"/>
                <w:szCs w:val="36"/>
                <w14:ligatures w14:val="none"/>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gridSpan w:val="2"/>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sidRPr="0046604E">
              <w:rPr>
                <w:rFonts w:ascii="Century Gothic" w:eastAsia="Times New Roman" w:hAnsi="Century Gothic" w:cs="Calibri"/>
                <w:kern w:val="0"/>
                <w:sz w:val="20"/>
                <w:szCs w:val="20"/>
                <w14:ligatures w14:val="none"/>
              </w:rPr>
              <w:t> </w:t>
            </w:r>
          </w:p>
        </w:tc>
      </w:tr>
      <w:tr w:rsidR="0046604E" w:rsidRPr="0046604E" w14:paraId="4E3ADDB1" w14:textId="77777777" w:rsidTr="0046604E">
        <w:trPr>
          <w:gridAfter w:val="4"/>
          <w:wAfter w:w="4485"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sidRPr="0046604E">
              <w:rPr>
                <w:rFonts w:ascii="Century Gothic" w:eastAsia="Times New Roman" w:hAnsi="Century Gothic" w:cs="Calibri"/>
                <w:color w:val="FFFFFF"/>
                <w:kern w:val="0"/>
                <w:sz w:val="28"/>
                <w:szCs w:val="28"/>
                <w14:ligatures w14:val="none"/>
              </w:rPr>
              <w:t>References</w:t>
            </w:r>
          </w:p>
        </w:tc>
        <w:tc>
          <w:tcPr>
            <w:tcW w:w="11055"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820D290"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sidRPr="0046604E">
              <w:rPr>
                <w:rFonts w:ascii="Century Gothic" w:eastAsia="Times New Roman" w:hAnsi="Century Gothic" w:cs="Calibri"/>
                <w:color w:val="000000"/>
                <w:kern w:val="0"/>
                <w:sz w:val="20"/>
                <w:szCs w:val="20"/>
                <w14:ligatures w14:val="none"/>
              </w:rPr>
              <w:t>List all sources, references, and citations used in the case study report. Follow a consistent citation style (e.g., APA, MLA) and provide complete publication details for each source, including books, articles, websites, and interviews.</w:t>
            </w:r>
          </w:p>
        </w:tc>
      </w:tr>
    </w:tbl>
    <w:p w14:paraId="5F7B7832" w14:textId="5165174F" w:rsidR="00762D74" w:rsidRPr="001A4641" w:rsidRDefault="0046604E" w:rsidP="001A4641">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D47A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1A4641"/>
    <w:rsid w:val="00202A43"/>
    <w:rsid w:val="0022017E"/>
    <w:rsid w:val="00307361"/>
    <w:rsid w:val="00384116"/>
    <w:rsid w:val="0046604E"/>
    <w:rsid w:val="00515C0D"/>
    <w:rsid w:val="00516605"/>
    <w:rsid w:val="00656C10"/>
    <w:rsid w:val="006612E0"/>
    <w:rsid w:val="006D513A"/>
    <w:rsid w:val="007336DD"/>
    <w:rsid w:val="00762D74"/>
    <w:rsid w:val="00823C0E"/>
    <w:rsid w:val="00832F25"/>
    <w:rsid w:val="00894B23"/>
    <w:rsid w:val="009D4580"/>
    <w:rsid w:val="00A108D8"/>
    <w:rsid w:val="00A93C31"/>
    <w:rsid w:val="00B84438"/>
    <w:rsid w:val="00BD3556"/>
    <w:rsid w:val="00C62758"/>
    <w:rsid w:val="00CE708C"/>
    <w:rsid w:val="00CF6F88"/>
    <w:rsid w:val="00D2241B"/>
    <w:rsid w:val="00D23CEB"/>
    <w:rsid w:val="00D47AF0"/>
    <w:rsid w:val="00E327DC"/>
    <w:rsid w:val="00EB45FB"/>
    <w:rsid w:val="00ED4C82"/>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1980&amp;utm_source=template-word&amp;utm_medium=content&amp;utm_campaign=Data-Driven+Case+Study+Example-word-11980&amp;lpa=Data-Driven+Case+Study+Example+word+11980" TargetMode="Externa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10</cp:revision>
  <dcterms:created xsi:type="dcterms:W3CDTF">2024-02-07T01:20:00Z</dcterms:created>
  <dcterms:modified xsi:type="dcterms:W3CDTF">2024-02-29T23:04:00Z</dcterms:modified>
</cp:coreProperties>
</file>