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0377CE33" w:rsidR="000E42C1" w:rsidRPr="00BF7967" w:rsidRDefault="003D3131" w:rsidP="000E42C1">
      <w:pPr>
        <w:rPr>
          <w:rFonts w:ascii="Century Gothic" w:hAnsi="Century Gothic"/>
          <w:b/>
          <w:noProof/>
          <w:color w:val="595959" w:themeColor="text1" w:themeTint="A6"/>
          <w:sz w:val="44"/>
          <w:szCs w:val="44"/>
        </w:rPr>
      </w:pPr>
      <w:r w:rsidRPr="00BF7967">
        <w:rPr>
          <w:rFonts w:ascii="Century Gothic" w:hAnsi="Century Gothic"/>
          <w:b/>
          <w:noProof/>
          <w:color w:val="595959" w:themeColor="text1" w:themeTint="A6"/>
          <w:sz w:val="48"/>
          <w:szCs w:val="48"/>
        </w:rPr>
        <w:drawing>
          <wp:anchor distT="0" distB="0" distL="114300" distR="114300" simplePos="0" relativeHeight="251667456" behindDoc="0" locked="0" layoutInCell="1" allowOverlap="1" wp14:anchorId="251F72D9" wp14:editId="262BF0F1">
            <wp:simplePos x="0" y="0"/>
            <wp:positionH relativeFrom="column">
              <wp:posOffset>3950970</wp:posOffset>
            </wp:positionH>
            <wp:positionV relativeFrom="paragraph">
              <wp:posOffset>22370</wp:posOffset>
            </wp:positionV>
            <wp:extent cx="3016532" cy="418005"/>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16532" cy="418005"/>
                    </a:xfrm>
                    <a:prstGeom prst="rect">
                      <a:avLst/>
                    </a:prstGeom>
                  </pic:spPr>
                </pic:pic>
              </a:graphicData>
            </a:graphic>
            <wp14:sizeRelH relativeFrom="page">
              <wp14:pctWidth>0</wp14:pctWidth>
            </wp14:sizeRelH>
            <wp14:sizeRelV relativeFrom="page">
              <wp14:pctHeight>0</wp14:pctHeight>
            </wp14:sizeRelV>
          </wp:anchor>
        </w:drawing>
      </w:r>
      <w:r w:rsidR="00923F27" w:rsidRPr="00BF7967">
        <w:rPr>
          <w:rFonts w:ascii="Century Gothic" w:hAnsi="Century Gothic"/>
          <w:b/>
          <w:noProof/>
          <w:color w:val="595959" w:themeColor="text1" w:themeTint="A6"/>
          <w:sz w:val="44"/>
          <w:szCs w:val="44"/>
        </w:rPr>
        <w:t xml:space="preserve">PRINTABLE PROS AND CONS </w:t>
      </w:r>
      <w:r w:rsidR="00C47638" w:rsidRPr="00BF7967">
        <w:rPr>
          <w:rFonts w:ascii="Century Gothic" w:hAnsi="Century Gothic"/>
          <w:b/>
          <w:noProof/>
          <w:color w:val="595959" w:themeColor="text1" w:themeTint="A6"/>
          <w:sz w:val="44"/>
          <w:szCs w:val="44"/>
        </w:rPr>
        <w:br/>
        <w:t>WORKSHEET – EXAMPLE</w:t>
      </w:r>
      <w:r w:rsidR="00923F27" w:rsidRPr="00BF7967">
        <w:rPr>
          <w:rFonts w:ascii="Century Gothic" w:hAnsi="Century Gothic"/>
          <w:b/>
          <w:noProof/>
          <w:color w:val="595959" w:themeColor="text1" w:themeTint="A6"/>
          <w:sz w:val="44"/>
          <w:szCs w:val="44"/>
        </w:rPr>
        <w:t xml:space="preserve"> </w:t>
      </w:r>
    </w:p>
    <w:p w14:paraId="6D23F677" w14:textId="50EE265C" w:rsidR="007E3446" w:rsidRPr="00BF7967" w:rsidRDefault="007E3446" w:rsidP="007E3446">
      <w:pPr>
        <w:spacing w:line="360" w:lineRule="auto"/>
        <w:rPr>
          <w:rFonts w:ascii="Century Gothic" w:hAnsi="Century Gothic"/>
          <w:color w:val="595959" w:themeColor="text1" w:themeTint="A6"/>
          <w:sz w:val="10"/>
          <w:szCs w:val="6"/>
        </w:rPr>
      </w:pPr>
    </w:p>
    <w:tbl>
      <w:tblPr>
        <w:tblW w:w="10980" w:type="dxa"/>
        <w:tblLook w:val="04A0" w:firstRow="1" w:lastRow="0" w:firstColumn="1" w:lastColumn="0" w:noHBand="0" w:noVBand="1"/>
      </w:tblPr>
      <w:tblGrid>
        <w:gridCol w:w="10980"/>
      </w:tblGrid>
      <w:tr w:rsidR="00923F27" w:rsidRPr="00BF7967" w14:paraId="4669B321" w14:textId="77777777" w:rsidTr="00D95484">
        <w:trPr>
          <w:trHeight w:val="306"/>
        </w:trPr>
        <w:tc>
          <w:tcPr>
            <w:tcW w:w="10980" w:type="dxa"/>
            <w:tcBorders>
              <w:top w:val="nil"/>
              <w:left w:val="nil"/>
              <w:bottom w:val="single" w:sz="4" w:space="0" w:color="BFBFBF"/>
              <w:right w:val="nil"/>
            </w:tcBorders>
            <w:shd w:val="clear" w:color="auto" w:fill="auto"/>
            <w:noWrap/>
            <w:hideMark/>
          </w:tcPr>
          <w:p w14:paraId="17B32CEB" w14:textId="306D2234" w:rsidR="00923F27" w:rsidRPr="00BF7967" w:rsidRDefault="004D00C6" w:rsidP="00923F27">
            <w:pPr>
              <w:ind w:left="-109"/>
              <w:rPr>
                <w:rFonts w:ascii="Century Gothic" w:hAnsi="Century Gothic" w:cs="Calibri"/>
                <w:color w:val="595959" w:themeColor="text1" w:themeTint="A6"/>
                <w:sz w:val="22"/>
                <w:szCs w:val="22"/>
              </w:rPr>
            </w:pPr>
            <w:r w:rsidRPr="00BF7967">
              <w:rPr>
                <w:rFonts w:ascii="Century Gothic" w:hAnsi="Century Gothic" w:cs="Calibri"/>
                <w:color w:val="595959" w:themeColor="text1" w:themeTint="A6"/>
                <w:sz w:val="22"/>
                <w:szCs w:val="22"/>
              </w:rPr>
              <w:t>SITUATION CONSIDERED</w:t>
            </w:r>
          </w:p>
        </w:tc>
      </w:tr>
      <w:tr w:rsidR="00923F27" w:rsidRPr="00BF7967" w14:paraId="14AEE25B" w14:textId="77777777" w:rsidTr="00D95484">
        <w:trPr>
          <w:trHeight w:val="504"/>
        </w:trPr>
        <w:tc>
          <w:tcPr>
            <w:tcW w:w="1098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6009C437" w14:textId="491AF2D1" w:rsidR="00923F27" w:rsidRPr="00BF7967" w:rsidRDefault="004D00C6" w:rsidP="004D00C6">
            <w:pPr>
              <w:rPr>
                <w:rFonts w:ascii="Century Gothic" w:hAnsi="Century Gothic" w:cs="Calibri"/>
                <w:color w:val="000000"/>
                <w:sz w:val="32"/>
                <w:szCs w:val="32"/>
              </w:rPr>
            </w:pPr>
            <w:r w:rsidRPr="00BF7967">
              <w:rPr>
                <w:rFonts w:ascii="Century Gothic" w:hAnsi="Century Gothic" w:cs="Calibri"/>
                <w:color w:val="000000"/>
                <w:sz w:val="32"/>
                <w:szCs w:val="32"/>
              </w:rPr>
              <w:t>Job Change Pros and Cons</w:t>
            </w:r>
          </w:p>
        </w:tc>
      </w:tr>
    </w:tbl>
    <w:p w14:paraId="7E4EB23C" w14:textId="2CEE0F58" w:rsidR="007E3446" w:rsidRPr="00BF7967" w:rsidRDefault="007E3446" w:rsidP="006E3022">
      <w:pPr>
        <w:rPr>
          <w:rFonts w:ascii="Century Gothic" w:hAnsi="Century Gothic"/>
          <w:color w:val="595959" w:themeColor="text1" w:themeTint="A6"/>
          <w:sz w:val="16"/>
          <w:szCs w:val="16"/>
        </w:rPr>
      </w:pPr>
    </w:p>
    <w:tbl>
      <w:tblPr>
        <w:tblW w:w="10980" w:type="dxa"/>
        <w:tblLook w:val="04A0" w:firstRow="1" w:lastRow="0" w:firstColumn="1" w:lastColumn="0" w:noHBand="0" w:noVBand="1"/>
      </w:tblPr>
      <w:tblGrid>
        <w:gridCol w:w="1893"/>
        <w:gridCol w:w="4543"/>
        <w:gridCol w:w="4544"/>
      </w:tblGrid>
      <w:tr w:rsidR="004D00C6" w:rsidRPr="00BF7967" w14:paraId="221C82D0" w14:textId="77777777" w:rsidTr="00D95484">
        <w:trPr>
          <w:trHeight w:val="429"/>
        </w:trPr>
        <w:tc>
          <w:tcPr>
            <w:tcW w:w="1893" w:type="dxa"/>
            <w:tcBorders>
              <w:top w:val="nil"/>
              <w:left w:val="nil"/>
              <w:bottom w:val="nil"/>
              <w:right w:val="nil"/>
            </w:tcBorders>
            <w:shd w:val="clear" w:color="000000" w:fill="FFFFFF"/>
            <w:vAlign w:val="center"/>
            <w:hideMark/>
          </w:tcPr>
          <w:p w14:paraId="29A2B4D7" w14:textId="77777777" w:rsidR="004D00C6" w:rsidRPr="00BF7967" w:rsidRDefault="004D00C6">
            <w:pPr>
              <w:ind w:firstLineChars="100" w:firstLine="200"/>
              <w:rPr>
                <w:rFonts w:ascii="Century Gothic" w:hAnsi="Century Gothic" w:cs="Calibri"/>
                <w:color w:val="000000"/>
                <w:sz w:val="20"/>
                <w:szCs w:val="20"/>
              </w:rPr>
            </w:pPr>
            <w:r w:rsidRPr="00BF7967">
              <w:rPr>
                <w:rFonts w:ascii="Century Gothic" w:hAnsi="Century Gothic" w:cs="Calibri"/>
                <w:color w:val="000000"/>
                <w:sz w:val="20"/>
                <w:szCs w:val="20"/>
              </w:rPr>
              <w:t> </w:t>
            </w:r>
          </w:p>
        </w:tc>
        <w:tc>
          <w:tcPr>
            <w:tcW w:w="4543" w:type="dxa"/>
            <w:tcBorders>
              <w:top w:val="single" w:sz="12" w:space="0" w:color="BFBFBF"/>
              <w:left w:val="single" w:sz="4" w:space="0" w:color="BFBFBF"/>
              <w:bottom w:val="single" w:sz="4" w:space="0" w:color="BFBFBF"/>
              <w:right w:val="single" w:sz="4" w:space="0" w:color="BFBFBF"/>
            </w:tcBorders>
            <w:shd w:val="clear" w:color="000000" w:fill="D4DAF1"/>
            <w:vAlign w:val="center"/>
            <w:hideMark/>
          </w:tcPr>
          <w:p w14:paraId="620064DC" w14:textId="67175482" w:rsidR="004D00C6" w:rsidRPr="00BF7967" w:rsidRDefault="004D00C6">
            <w:pPr>
              <w:jc w:val="center"/>
              <w:rPr>
                <w:rFonts w:ascii="Century Gothic" w:hAnsi="Century Gothic" w:cs="Calibri"/>
                <w:color w:val="000000"/>
                <w:sz w:val="22"/>
                <w:szCs w:val="22"/>
              </w:rPr>
            </w:pPr>
            <w:r w:rsidRPr="00BF7967">
              <w:rPr>
                <w:rFonts w:ascii="Century Gothic" w:hAnsi="Century Gothic" w:cs="Calibri"/>
                <w:color w:val="000000"/>
                <w:sz w:val="22"/>
                <w:szCs w:val="22"/>
              </w:rPr>
              <w:t>OPTION 1</w:t>
            </w:r>
          </w:p>
        </w:tc>
        <w:tc>
          <w:tcPr>
            <w:tcW w:w="4544" w:type="dxa"/>
            <w:tcBorders>
              <w:top w:val="single" w:sz="12" w:space="0" w:color="BFBFBF"/>
              <w:left w:val="nil"/>
              <w:bottom w:val="single" w:sz="4" w:space="0" w:color="BFBFBF"/>
              <w:right w:val="single" w:sz="18" w:space="0" w:color="BFBFBF" w:themeColor="background1" w:themeShade="BF"/>
            </w:tcBorders>
            <w:shd w:val="clear" w:color="000000" w:fill="CEDDF1"/>
            <w:vAlign w:val="center"/>
            <w:hideMark/>
          </w:tcPr>
          <w:p w14:paraId="442A3413" w14:textId="1AA6FCFF" w:rsidR="004D00C6" w:rsidRPr="00BF7967" w:rsidRDefault="004D00C6">
            <w:pPr>
              <w:jc w:val="center"/>
              <w:rPr>
                <w:rFonts w:ascii="Century Gothic" w:hAnsi="Century Gothic" w:cs="Calibri"/>
                <w:color w:val="000000"/>
                <w:sz w:val="22"/>
                <w:szCs w:val="22"/>
              </w:rPr>
            </w:pPr>
            <w:r w:rsidRPr="00BF7967">
              <w:rPr>
                <w:rFonts w:ascii="Century Gothic" w:hAnsi="Century Gothic" w:cs="Calibri"/>
                <w:color w:val="000000"/>
                <w:sz w:val="22"/>
                <w:szCs w:val="22"/>
              </w:rPr>
              <w:t>OPTION 2</w:t>
            </w:r>
          </w:p>
        </w:tc>
      </w:tr>
      <w:tr w:rsidR="004D00C6" w:rsidRPr="00BF7967" w14:paraId="1DF209AA" w14:textId="77777777" w:rsidTr="00D95484">
        <w:trPr>
          <w:trHeight w:val="620"/>
        </w:trPr>
        <w:tc>
          <w:tcPr>
            <w:tcW w:w="1893" w:type="dxa"/>
            <w:tcBorders>
              <w:top w:val="nil"/>
              <w:left w:val="nil"/>
              <w:bottom w:val="nil"/>
              <w:right w:val="nil"/>
            </w:tcBorders>
            <w:shd w:val="clear" w:color="000000" w:fill="FFFFFF"/>
            <w:vAlign w:val="center"/>
            <w:hideMark/>
          </w:tcPr>
          <w:p w14:paraId="3AD32B19" w14:textId="77777777" w:rsidR="004D00C6" w:rsidRPr="00BF7967" w:rsidRDefault="004D00C6">
            <w:pPr>
              <w:rPr>
                <w:rFonts w:ascii="Century Gothic" w:hAnsi="Century Gothic" w:cs="Calibri"/>
                <w:color w:val="000000"/>
                <w:sz w:val="20"/>
                <w:szCs w:val="20"/>
              </w:rPr>
            </w:pPr>
            <w:r w:rsidRPr="00BF7967">
              <w:rPr>
                <w:rFonts w:ascii="Century Gothic" w:hAnsi="Century Gothic" w:cs="Calibri"/>
                <w:color w:val="000000"/>
                <w:sz w:val="20"/>
                <w:szCs w:val="20"/>
              </w:rPr>
              <w:t> </w:t>
            </w:r>
          </w:p>
        </w:tc>
        <w:tc>
          <w:tcPr>
            <w:tcW w:w="4543" w:type="dxa"/>
            <w:tcBorders>
              <w:top w:val="nil"/>
              <w:left w:val="single" w:sz="4" w:space="0" w:color="BFBFBF"/>
              <w:bottom w:val="single" w:sz="4" w:space="0" w:color="BFBFBF"/>
              <w:right w:val="single" w:sz="4" w:space="0" w:color="BFBFBF"/>
            </w:tcBorders>
            <w:shd w:val="clear" w:color="000000" w:fill="EEEFF8"/>
            <w:vAlign w:val="center"/>
            <w:hideMark/>
          </w:tcPr>
          <w:p w14:paraId="52292723" w14:textId="77777777" w:rsidR="004D00C6" w:rsidRPr="00BF7967" w:rsidRDefault="004D00C6">
            <w:pPr>
              <w:jc w:val="center"/>
              <w:rPr>
                <w:rFonts w:ascii="Century Gothic" w:hAnsi="Century Gothic" w:cs="Calibri"/>
                <w:color w:val="000000"/>
                <w:sz w:val="26"/>
                <w:szCs w:val="26"/>
              </w:rPr>
            </w:pPr>
            <w:r w:rsidRPr="00BF7967">
              <w:rPr>
                <w:rFonts w:ascii="Century Gothic" w:hAnsi="Century Gothic" w:cs="Calibri"/>
                <w:color w:val="000000"/>
                <w:sz w:val="26"/>
                <w:szCs w:val="26"/>
              </w:rPr>
              <w:t>Stay in Current Job</w:t>
            </w:r>
          </w:p>
        </w:tc>
        <w:tc>
          <w:tcPr>
            <w:tcW w:w="4544" w:type="dxa"/>
            <w:tcBorders>
              <w:top w:val="single" w:sz="4" w:space="0" w:color="BFBFBF"/>
              <w:left w:val="nil"/>
              <w:bottom w:val="single" w:sz="4" w:space="0" w:color="BFBFBF"/>
              <w:right w:val="single" w:sz="18" w:space="0" w:color="BFBFBF" w:themeColor="background1" w:themeShade="BF"/>
            </w:tcBorders>
            <w:shd w:val="clear" w:color="000000" w:fill="EBF1F8"/>
            <w:vAlign w:val="center"/>
            <w:hideMark/>
          </w:tcPr>
          <w:p w14:paraId="0FCF4761" w14:textId="77777777" w:rsidR="004D00C6" w:rsidRPr="00BF7967" w:rsidRDefault="004D00C6">
            <w:pPr>
              <w:jc w:val="center"/>
              <w:rPr>
                <w:rFonts w:ascii="Century Gothic" w:hAnsi="Century Gothic" w:cs="Calibri"/>
                <w:color w:val="000000"/>
                <w:sz w:val="26"/>
                <w:szCs w:val="26"/>
              </w:rPr>
            </w:pPr>
            <w:r w:rsidRPr="00BF7967">
              <w:rPr>
                <w:rFonts w:ascii="Century Gothic" w:hAnsi="Century Gothic" w:cs="Calibri"/>
                <w:color w:val="000000"/>
                <w:sz w:val="26"/>
                <w:szCs w:val="26"/>
              </w:rPr>
              <w:t>Change Jobs</w:t>
            </w:r>
          </w:p>
        </w:tc>
      </w:tr>
      <w:tr w:rsidR="004D00C6" w:rsidRPr="00BF7967" w14:paraId="1ABD1BB2" w14:textId="77777777" w:rsidTr="00D95484">
        <w:trPr>
          <w:trHeight w:val="2458"/>
        </w:trPr>
        <w:tc>
          <w:tcPr>
            <w:tcW w:w="1893" w:type="dxa"/>
            <w:tcBorders>
              <w:top w:val="single" w:sz="4" w:space="0" w:color="BFBFBF"/>
              <w:left w:val="single" w:sz="4" w:space="0" w:color="BFBFBF"/>
              <w:bottom w:val="single" w:sz="4" w:space="0" w:color="BFBFBF"/>
              <w:right w:val="single" w:sz="4" w:space="0" w:color="BFBFBF"/>
            </w:tcBorders>
            <w:shd w:val="clear" w:color="000000" w:fill="C9EDF1"/>
            <w:hideMark/>
          </w:tcPr>
          <w:p w14:paraId="696985CA"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Pros</w:t>
            </w:r>
          </w:p>
        </w:tc>
        <w:tc>
          <w:tcPr>
            <w:tcW w:w="4543" w:type="dxa"/>
            <w:tcBorders>
              <w:top w:val="nil"/>
              <w:left w:val="nil"/>
              <w:bottom w:val="single" w:sz="4" w:space="0" w:color="BFBFBF"/>
              <w:right w:val="single" w:sz="4" w:space="0" w:color="BFBFBF"/>
            </w:tcBorders>
            <w:shd w:val="clear" w:color="auto" w:fill="auto"/>
            <w:tcMar>
              <w:top w:w="115" w:type="dxa"/>
              <w:left w:w="115" w:type="dxa"/>
              <w:right w:w="115" w:type="dxa"/>
            </w:tcMar>
            <w:hideMark/>
          </w:tcPr>
          <w:p w14:paraId="5CC778B6" w14:textId="2F03A8A5" w:rsidR="004D00C6" w:rsidRPr="00BF7967" w:rsidRDefault="004D00C6" w:rsidP="00D95484">
            <w:pPr>
              <w:pStyle w:val="ListParagraph"/>
              <w:numPr>
                <w:ilvl w:val="0"/>
                <w:numId w:val="8"/>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Job stability with known income and benefits.</w:t>
            </w:r>
          </w:p>
          <w:p w14:paraId="54A1C14E" w14:textId="5C81AF57" w:rsidR="004D00C6" w:rsidRPr="00BF7967" w:rsidRDefault="004D00C6" w:rsidP="00D95484">
            <w:pPr>
              <w:pStyle w:val="ListParagraph"/>
              <w:numPr>
                <w:ilvl w:val="0"/>
                <w:numId w:val="8"/>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Familiarity with current role, colleagues, and company culture.</w:t>
            </w:r>
          </w:p>
          <w:p w14:paraId="3F9B1E4A" w14:textId="77777777" w:rsidR="004D00C6" w:rsidRPr="00BF7967" w:rsidRDefault="004D00C6" w:rsidP="00D95484">
            <w:pPr>
              <w:pStyle w:val="ListParagraph"/>
              <w:numPr>
                <w:ilvl w:val="0"/>
                <w:numId w:val="8"/>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Opportunities for skill development.</w:t>
            </w:r>
          </w:p>
          <w:p w14:paraId="103E77B8" w14:textId="3CE5CDBB" w:rsidR="004D00C6" w:rsidRPr="00BF7967" w:rsidRDefault="004D00C6" w:rsidP="00D95484">
            <w:pPr>
              <w:pStyle w:val="ListParagraph"/>
              <w:numPr>
                <w:ilvl w:val="0"/>
                <w:numId w:val="8"/>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Predictable salary and benefits package.</w:t>
            </w:r>
          </w:p>
        </w:tc>
        <w:tc>
          <w:tcPr>
            <w:tcW w:w="4544" w:type="dxa"/>
            <w:tcBorders>
              <w:top w:val="single" w:sz="4" w:space="0" w:color="BFBFBF"/>
              <w:left w:val="nil"/>
              <w:bottom w:val="single" w:sz="4" w:space="0" w:color="BFBFBF"/>
              <w:right w:val="single" w:sz="18" w:space="0" w:color="BFBFBF" w:themeColor="background1" w:themeShade="BF"/>
            </w:tcBorders>
            <w:shd w:val="clear" w:color="auto" w:fill="auto"/>
            <w:tcMar>
              <w:top w:w="115" w:type="dxa"/>
              <w:left w:w="115" w:type="dxa"/>
              <w:right w:w="115" w:type="dxa"/>
            </w:tcMar>
            <w:hideMark/>
          </w:tcPr>
          <w:p w14:paraId="42C4C066" w14:textId="77777777"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Opportunities for career growth and higher earning potential.</w:t>
            </w:r>
          </w:p>
          <w:p w14:paraId="20D664A8" w14:textId="77777777"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Fresh challenges and opportunities for learning.</w:t>
            </w:r>
          </w:p>
          <w:p w14:paraId="4A211E03" w14:textId="4EB0B84D"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May secure higher salary and better benefits.</w:t>
            </w:r>
          </w:p>
          <w:p w14:paraId="47837F72" w14:textId="446AA3F7"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Expand professional network and connections.</w:t>
            </w:r>
          </w:p>
        </w:tc>
      </w:tr>
      <w:tr w:rsidR="004D00C6" w:rsidRPr="00BF7967" w14:paraId="4AD25D42" w14:textId="77777777" w:rsidTr="00D95484">
        <w:trPr>
          <w:trHeight w:val="2683"/>
        </w:trPr>
        <w:tc>
          <w:tcPr>
            <w:tcW w:w="1893" w:type="dxa"/>
            <w:tcBorders>
              <w:top w:val="nil"/>
              <w:left w:val="single" w:sz="4" w:space="0" w:color="BFBFBF"/>
              <w:bottom w:val="single" w:sz="4" w:space="0" w:color="BFBFBF"/>
              <w:right w:val="single" w:sz="4" w:space="0" w:color="BFBFBF"/>
            </w:tcBorders>
            <w:shd w:val="clear" w:color="000000" w:fill="BDEBE8"/>
            <w:hideMark/>
          </w:tcPr>
          <w:p w14:paraId="63DC48FD"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Cons</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hideMark/>
          </w:tcPr>
          <w:p w14:paraId="58A53AEE" w14:textId="77777777" w:rsidR="00D95484"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Limited opportunities for career advancement.</w:t>
            </w:r>
            <w:r w:rsidR="00D95484" w:rsidRPr="00BF7967">
              <w:rPr>
                <w:rFonts w:ascii="Century Gothic" w:hAnsi="Century Gothic" w:cs="Calibri"/>
                <w:color w:val="000000"/>
                <w:sz w:val="20"/>
                <w:szCs w:val="20"/>
              </w:rPr>
              <w:t xml:space="preserve"> </w:t>
            </w:r>
          </w:p>
          <w:p w14:paraId="4CB3EB1C" w14:textId="77777777" w:rsidR="00D95484"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Risk of becoming stagnant or feeling unchallenged over time.</w:t>
            </w:r>
            <w:r w:rsidR="00D95484" w:rsidRPr="00BF7967">
              <w:rPr>
                <w:rFonts w:ascii="Century Gothic" w:hAnsi="Century Gothic" w:cs="Calibri"/>
                <w:color w:val="000000"/>
                <w:sz w:val="20"/>
                <w:szCs w:val="20"/>
              </w:rPr>
              <w:t xml:space="preserve"> </w:t>
            </w:r>
          </w:p>
          <w:p w14:paraId="3243A42C" w14:textId="77777777" w:rsidR="00D95484"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Annual raises and promotions may be slow.</w:t>
            </w:r>
            <w:r w:rsidR="00D95484" w:rsidRPr="00BF7967">
              <w:rPr>
                <w:rFonts w:ascii="Century Gothic" w:hAnsi="Century Gothic" w:cs="Calibri"/>
                <w:color w:val="000000"/>
                <w:sz w:val="20"/>
                <w:szCs w:val="20"/>
              </w:rPr>
              <w:t xml:space="preserve"> </w:t>
            </w:r>
          </w:p>
          <w:p w14:paraId="14E8FD23" w14:textId="625858C1" w:rsidR="004D00C6" w:rsidRPr="00BF7967" w:rsidRDefault="00366C25" w:rsidP="00D95484">
            <w:pPr>
              <w:pStyle w:val="ListParagraph"/>
              <w:numPr>
                <w:ilvl w:val="0"/>
                <w:numId w:val="9"/>
              </w:numPr>
              <w:spacing w:after="100"/>
              <w:ind w:left="242"/>
              <w:contextualSpacing w:val="0"/>
              <w:rPr>
                <w:rFonts w:ascii="Century Gothic" w:hAnsi="Century Gothic" w:cs="Calibri"/>
                <w:color w:val="000000"/>
                <w:sz w:val="20"/>
                <w:szCs w:val="20"/>
              </w:rPr>
            </w:pPr>
            <w:r>
              <w:rPr>
                <w:rFonts w:ascii="Century Gothic" w:hAnsi="Century Gothic" w:cs="Calibri"/>
                <w:color w:val="000000"/>
                <w:sz w:val="20"/>
                <w:szCs w:val="20"/>
              </w:rPr>
              <w:t>C</w:t>
            </w:r>
            <w:r w:rsidR="004D00C6" w:rsidRPr="00BF7967">
              <w:rPr>
                <w:rFonts w:ascii="Century Gothic" w:hAnsi="Century Gothic" w:cs="Calibri"/>
                <w:color w:val="000000"/>
                <w:sz w:val="20"/>
                <w:szCs w:val="20"/>
              </w:rPr>
              <w:t>ompany's structure is changing, which could negatively affect current job.</w:t>
            </w: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hideMark/>
          </w:tcPr>
          <w:p w14:paraId="2E04441D" w14:textId="6DDD8195" w:rsidR="00D95484" w:rsidRPr="00BF7967" w:rsidRDefault="00366C25" w:rsidP="00D95484">
            <w:pPr>
              <w:pStyle w:val="ListParagraph"/>
              <w:numPr>
                <w:ilvl w:val="0"/>
                <w:numId w:val="9"/>
              </w:numPr>
              <w:spacing w:after="100"/>
              <w:ind w:left="242"/>
              <w:contextualSpacing w:val="0"/>
              <w:rPr>
                <w:rFonts w:ascii="Century Gothic" w:hAnsi="Century Gothic" w:cs="Calibri"/>
                <w:color w:val="000000"/>
                <w:sz w:val="20"/>
                <w:szCs w:val="20"/>
              </w:rPr>
            </w:pPr>
            <w:r>
              <w:rPr>
                <w:rFonts w:ascii="Century Gothic" w:hAnsi="Century Gothic" w:cs="Calibri"/>
                <w:color w:val="000000"/>
                <w:sz w:val="20"/>
                <w:szCs w:val="20"/>
              </w:rPr>
              <w:t>N</w:t>
            </w:r>
            <w:r w:rsidR="004D00C6" w:rsidRPr="00BF7967">
              <w:rPr>
                <w:rFonts w:ascii="Century Gothic" w:hAnsi="Century Gothic" w:cs="Calibri"/>
                <w:color w:val="000000"/>
                <w:sz w:val="20"/>
                <w:szCs w:val="20"/>
              </w:rPr>
              <w:t>ew job may not meet expectations.</w:t>
            </w:r>
            <w:r w:rsidR="00D95484" w:rsidRPr="00BF7967">
              <w:rPr>
                <w:rFonts w:ascii="Century Gothic" w:hAnsi="Century Gothic" w:cs="Calibri"/>
                <w:color w:val="000000"/>
                <w:sz w:val="20"/>
                <w:szCs w:val="20"/>
              </w:rPr>
              <w:t xml:space="preserve"> </w:t>
            </w:r>
          </w:p>
          <w:p w14:paraId="789FE95F" w14:textId="3D919297" w:rsidR="00D95484"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It may take time to adapt to new work environment and culture.</w:t>
            </w:r>
            <w:r w:rsidR="00D95484" w:rsidRPr="00BF7967">
              <w:rPr>
                <w:rFonts w:ascii="Century Gothic" w:hAnsi="Century Gothic" w:cs="Calibri"/>
                <w:color w:val="000000"/>
                <w:sz w:val="20"/>
                <w:szCs w:val="20"/>
              </w:rPr>
              <w:t xml:space="preserve"> </w:t>
            </w:r>
          </w:p>
          <w:p w14:paraId="4943D86B" w14:textId="1D26E806"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May require relocation.</w:t>
            </w:r>
          </w:p>
        </w:tc>
      </w:tr>
      <w:tr w:rsidR="004D00C6" w:rsidRPr="00BF7967" w14:paraId="7BAC48D4" w14:textId="77777777" w:rsidTr="00D95484">
        <w:trPr>
          <w:trHeight w:val="1855"/>
        </w:trPr>
        <w:tc>
          <w:tcPr>
            <w:tcW w:w="1893" w:type="dxa"/>
            <w:tcBorders>
              <w:top w:val="nil"/>
              <w:left w:val="single" w:sz="4" w:space="0" w:color="BFBFBF"/>
              <w:bottom w:val="single" w:sz="4" w:space="0" w:color="BFBFBF"/>
              <w:right w:val="single" w:sz="4" w:space="0" w:color="BFBFBF"/>
            </w:tcBorders>
            <w:shd w:val="clear" w:color="000000" w:fill="BEF4E5"/>
            <w:hideMark/>
          </w:tcPr>
          <w:p w14:paraId="03508565"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Risks</w:t>
            </w:r>
          </w:p>
        </w:tc>
        <w:tc>
          <w:tcPr>
            <w:tcW w:w="4543" w:type="dxa"/>
            <w:tcBorders>
              <w:top w:val="nil"/>
              <w:left w:val="nil"/>
              <w:bottom w:val="single" w:sz="4" w:space="0" w:color="BFBFBF"/>
              <w:right w:val="single" w:sz="4" w:space="0" w:color="BFBFBF"/>
            </w:tcBorders>
            <w:shd w:val="clear" w:color="auto" w:fill="auto"/>
            <w:tcMar>
              <w:top w:w="115" w:type="dxa"/>
              <w:left w:w="115" w:type="dxa"/>
              <w:right w:w="115" w:type="dxa"/>
            </w:tcMar>
            <w:hideMark/>
          </w:tcPr>
          <w:p w14:paraId="13E8A5DA" w14:textId="77777777" w:rsidR="00D95484"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Economic or company-specific factors could lead to layoffs or downsizing.</w:t>
            </w:r>
            <w:r w:rsidR="00D95484" w:rsidRPr="00BF7967">
              <w:rPr>
                <w:rFonts w:ascii="Century Gothic" w:hAnsi="Century Gothic" w:cs="Calibri"/>
                <w:color w:val="000000"/>
                <w:sz w:val="20"/>
                <w:szCs w:val="20"/>
              </w:rPr>
              <w:t xml:space="preserve"> </w:t>
            </w:r>
          </w:p>
          <w:p w14:paraId="408A26CA" w14:textId="47CE0A56" w:rsidR="00D95484"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Current skills may become outdated, making it harder to find new job.</w:t>
            </w:r>
            <w:r w:rsidR="00D95484" w:rsidRPr="00BF7967">
              <w:rPr>
                <w:rFonts w:ascii="Century Gothic" w:hAnsi="Century Gothic" w:cs="Calibri"/>
                <w:color w:val="000000"/>
                <w:sz w:val="20"/>
                <w:szCs w:val="20"/>
              </w:rPr>
              <w:t xml:space="preserve"> </w:t>
            </w:r>
          </w:p>
          <w:p w14:paraId="431A340E" w14:textId="07A42E20"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Long-term dissatisfaction could lead to burnout.</w:t>
            </w:r>
          </w:p>
        </w:tc>
        <w:tc>
          <w:tcPr>
            <w:tcW w:w="4544" w:type="dxa"/>
            <w:tcBorders>
              <w:top w:val="single" w:sz="4" w:space="0" w:color="BFBFBF"/>
              <w:left w:val="nil"/>
              <w:bottom w:val="single" w:sz="4" w:space="0" w:color="BFBFBF"/>
              <w:right w:val="single" w:sz="18" w:space="0" w:color="BFBFBF" w:themeColor="background1" w:themeShade="BF"/>
            </w:tcBorders>
            <w:shd w:val="clear" w:color="auto" w:fill="auto"/>
            <w:tcMar>
              <w:top w:w="115" w:type="dxa"/>
              <w:left w:w="115" w:type="dxa"/>
              <w:right w:w="115" w:type="dxa"/>
            </w:tcMar>
            <w:hideMark/>
          </w:tcPr>
          <w:p w14:paraId="49DF58AF" w14:textId="03E64EA2" w:rsidR="00D95484" w:rsidRPr="00BF7967" w:rsidRDefault="00366C25" w:rsidP="00D95484">
            <w:pPr>
              <w:pStyle w:val="ListParagraph"/>
              <w:numPr>
                <w:ilvl w:val="0"/>
                <w:numId w:val="9"/>
              </w:numPr>
              <w:spacing w:after="100"/>
              <w:ind w:left="242"/>
              <w:contextualSpacing w:val="0"/>
              <w:rPr>
                <w:rFonts w:ascii="Century Gothic" w:hAnsi="Century Gothic" w:cs="Calibri"/>
                <w:color w:val="000000"/>
                <w:sz w:val="20"/>
                <w:szCs w:val="20"/>
              </w:rPr>
            </w:pPr>
            <w:r>
              <w:rPr>
                <w:rFonts w:ascii="Century Gothic" w:hAnsi="Century Gothic" w:cs="Calibri"/>
                <w:color w:val="000000"/>
                <w:sz w:val="20"/>
                <w:szCs w:val="20"/>
              </w:rPr>
              <w:t>N</w:t>
            </w:r>
            <w:r w:rsidR="004D00C6" w:rsidRPr="00BF7967">
              <w:rPr>
                <w:rFonts w:ascii="Century Gothic" w:hAnsi="Century Gothic" w:cs="Calibri"/>
                <w:color w:val="000000"/>
                <w:sz w:val="20"/>
                <w:szCs w:val="20"/>
              </w:rPr>
              <w:t>ew company's culture may not be great fit.</w:t>
            </w:r>
            <w:r w:rsidR="00D95484" w:rsidRPr="00BF7967">
              <w:rPr>
                <w:rFonts w:ascii="Century Gothic" w:hAnsi="Century Gothic" w:cs="Calibri"/>
                <w:color w:val="000000"/>
                <w:sz w:val="20"/>
                <w:szCs w:val="20"/>
              </w:rPr>
              <w:t xml:space="preserve"> </w:t>
            </w:r>
          </w:p>
          <w:p w14:paraId="5F4BD80D" w14:textId="7F9673A4"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Unsuccessful salary negotiations.</w:t>
            </w:r>
          </w:p>
        </w:tc>
      </w:tr>
      <w:tr w:rsidR="004D00C6" w:rsidRPr="00BF7967" w14:paraId="29A4962F" w14:textId="77777777" w:rsidTr="00D95484">
        <w:trPr>
          <w:trHeight w:val="1216"/>
        </w:trPr>
        <w:tc>
          <w:tcPr>
            <w:tcW w:w="1893" w:type="dxa"/>
            <w:tcBorders>
              <w:top w:val="nil"/>
              <w:left w:val="single" w:sz="4" w:space="0" w:color="BFBFBF"/>
              <w:bottom w:val="single" w:sz="4" w:space="0" w:color="BFBFBF"/>
              <w:right w:val="single" w:sz="4" w:space="0" w:color="BFBFBF"/>
            </w:tcBorders>
            <w:shd w:val="clear" w:color="000000" w:fill="CCF4E2"/>
            <w:hideMark/>
          </w:tcPr>
          <w:p w14:paraId="1B72F29E"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Unpredictable Factors</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hideMark/>
          </w:tcPr>
          <w:p w14:paraId="1AC66F73" w14:textId="0F4C508A" w:rsidR="00D95484" w:rsidRPr="00BF7967" w:rsidRDefault="00366C25" w:rsidP="00D95484">
            <w:pPr>
              <w:pStyle w:val="ListParagraph"/>
              <w:numPr>
                <w:ilvl w:val="0"/>
                <w:numId w:val="9"/>
              </w:numPr>
              <w:spacing w:after="100"/>
              <w:ind w:left="242"/>
              <w:contextualSpacing w:val="0"/>
              <w:rPr>
                <w:rFonts w:ascii="Century Gothic" w:hAnsi="Century Gothic" w:cs="Calibri"/>
                <w:color w:val="000000"/>
                <w:sz w:val="20"/>
                <w:szCs w:val="20"/>
              </w:rPr>
            </w:pPr>
            <w:r>
              <w:rPr>
                <w:rFonts w:ascii="Century Gothic" w:hAnsi="Century Gothic" w:cs="Calibri"/>
                <w:color w:val="000000"/>
                <w:sz w:val="20"/>
                <w:szCs w:val="20"/>
              </w:rPr>
              <w:t>C</w:t>
            </w:r>
            <w:r w:rsidR="004D00C6" w:rsidRPr="00BF7967">
              <w:rPr>
                <w:rFonts w:ascii="Century Gothic" w:hAnsi="Century Gothic" w:cs="Calibri"/>
                <w:color w:val="000000"/>
                <w:sz w:val="20"/>
                <w:szCs w:val="20"/>
              </w:rPr>
              <w:t>ompany's financial health.</w:t>
            </w:r>
            <w:r w:rsidR="00D95484" w:rsidRPr="00BF7967">
              <w:rPr>
                <w:rFonts w:ascii="Century Gothic" w:hAnsi="Century Gothic" w:cs="Calibri"/>
                <w:color w:val="000000"/>
                <w:sz w:val="20"/>
                <w:szCs w:val="20"/>
              </w:rPr>
              <w:t xml:space="preserve"> </w:t>
            </w:r>
          </w:p>
          <w:p w14:paraId="23D245C8" w14:textId="18DABE62"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Market trends and industry changes.</w:t>
            </w: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hideMark/>
          </w:tcPr>
          <w:p w14:paraId="107EA665" w14:textId="3FABFA76" w:rsidR="00D95484" w:rsidRPr="00BF7967" w:rsidRDefault="00366C25" w:rsidP="00D95484">
            <w:pPr>
              <w:pStyle w:val="ListParagraph"/>
              <w:numPr>
                <w:ilvl w:val="0"/>
                <w:numId w:val="9"/>
              </w:numPr>
              <w:spacing w:after="100"/>
              <w:ind w:left="242"/>
              <w:contextualSpacing w:val="0"/>
              <w:rPr>
                <w:rFonts w:ascii="Century Gothic" w:hAnsi="Century Gothic" w:cs="Calibri"/>
                <w:color w:val="000000"/>
                <w:sz w:val="20"/>
                <w:szCs w:val="20"/>
              </w:rPr>
            </w:pPr>
            <w:r>
              <w:rPr>
                <w:rFonts w:ascii="Century Gothic" w:hAnsi="Century Gothic" w:cs="Calibri"/>
                <w:color w:val="000000"/>
                <w:sz w:val="20"/>
                <w:szCs w:val="20"/>
              </w:rPr>
              <w:t>N</w:t>
            </w:r>
            <w:r w:rsidR="004D00C6" w:rsidRPr="00BF7967">
              <w:rPr>
                <w:rFonts w:ascii="Century Gothic" w:hAnsi="Century Gothic" w:cs="Calibri"/>
                <w:color w:val="000000"/>
                <w:sz w:val="20"/>
                <w:szCs w:val="20"/>
              </w:rPr>
              <w:t>ew company's financial health and stability.</w:t>
            </w:r>
            <w:r w:rsidR="00D95484" w:rsidRPr="00BF7967">
              <w:rPr>
                <w:rFonts w:ascii="Century Gothic" w:hAnsi="Century Gothic" w:cs="Calibri"/>
                <w:color w:val="000000"/>
                <w:sz w:val="20"/>
                <w:szCs w:val="20"/>
              </w:rPr>
              <w:t xml:space="preserve"> </w:t>
            </w:r>
          </w:p>
          <w:p w14:paraId="54CBCDD7" w14:textId="01F78A3B"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Team dynamics with colleagues and managers.</w:t>
            </w:r>
          </w:p>
        </w:tc>
      </w:tr>
      <w:tr w:rsidR="004D00C6" w:rsidRPr="00BF7967" w14:paraId="3D0F4D9E" w14:textId="77777777" w:rsidTr="00D95484">
        <w:trPr>
          <w:trHeight w:val="1008"/>
        </w:trPr>
        <w:tc>
          <w:tcPr>
            <w:tcW w:w="1893" w:type="dxa"/>
            <w:tcBorders>
              <w:top w:val="nil"/>
              <w:left w:val="single" w:sz="4" w:space="0" w:color="BFBFBF"/>
              <w:bottom w:val="single" w:sz="4" w:space="0" w:color="BFBFBF"/>
              <w:right w:val="single" w:sz="4" w:space="0" w:color="BFBFBF"/>
            </w:tcBorders>
            <w:shd w:val="clear" w:color="000000" w:fill="E7F3DB"/>
            <w:hideMark/>
          </w:tcPr>
          <w:p w14:paraId="2A226430"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Best-Case Scenario</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hideMark/>
          </w:tcPr>
          <w:p w14:paraId="046A5A7C" w14:textId="1B6895C2"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Continue to enjoy job stability, gain valuable experience, and company thrives.</w:t>
            </w: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hideMark/>
          </w:tcPr>
          <w:p w14:paraId="7F1E00BD" w14:textId="201E0734"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Find rewarding job that offers career advancement, higher pay, and supportive work environment.</w:t>
            </w:r>
          </w:p>
        </w:tc>
      </w:tr>
      <w:tr w:rsidR="004D00C6" w:rsidRPr="00BF7967" w14:paraId="599F4C7F" w14:textId="77777777" w:rsidTr="00D95484">
        <w:trPr>
          <w:trHeight w:val="1008"/>
        </w:trPr>
        <w:tc>
          <w:tcPr>
            <w:tcW w:w="1893" w:type="dxa"/>
            <w:tcBorders>
              <w:top w:val="nil"/>
              <w:left w:val="single" w:sz="4" w:space="0" w:color="BFBFBF"/>
              <w:bottom w:val="single" w:sz="4" w:space="0" w:color="BFBFBF"/>
              <w:right w:val="single" w:sz="4" w:space="0" w:color="BFBFBF"/>
            </w:tcBorders>
            <w:shd w:val="clear" w:color="000000" w:fill="FEF3D6"/>
            <w:hideMark/>
          </w:tcPr>
          <w:p w14:paraId="0F218317" w14:textId="77777777" w:rsidR="004D00C6" w:rsidRPr="00BF7967" w:rsidRDefault="004D00C6" w:rsidP="00D95484">
            <w:pPr>
              <w:rPr>
                <w:rFonts w:ascii="Century Gothic" w:hAnsi="Century Gothic" w:cs="Calibri"/>
                <w:color w:val="000000"/>
              </w:rPr>
            </w:pPr>
            <w:r w:rsidRPr="00BF7967">
              <w:rPr>
                <w:rFonts w:ascii="Century Gothic" w:hAnsi="Century Gothic" w:cs="Calibri"/>
                <w:color w:val="000000"/>
              </w:rPr>
              <w:t>Worst-Case Scenario</w:t>
            </w:r>
          </w:p>
        </w:tc>
        <w:tc>
          <w:tcPr>
            <w:tcW w:w="4543" w:type="dxa"/>
            <w:tcBorders>
              <w:top w:val="nil"/>
              <w:left w:val="nil"/>
              <w:bottom w:val="single" w:sz="4" w:space="0" w:color="BFBFBF"/>
              <w:right w:val="single" w:sz="4" w:space="0" w:color="BFBFBF"/>
            </w:tcBorders>
            <w:shd w:val="clear" w:color="000000" w:fill="FFFFFF"/>
            <w:tcMar>
              <w:top w:w="115" w:type="dxa"/>
              <w:left w:w="115" w:type="dxa"/>
              <w:right w:w="115" w:type="dxa"/>
            </w:tcMar>
            <w:hideMark/>
          </w:tcPr>
          <w:p w14:paraId="13AEB0EC" w14:textId="1346C9FB" w:rsidR="004D00C6" w:rsidRPr="00BF7967" w:rsidRDefault="004D00C6" w:rsidP="00D95484">
            <w:pPr>
              <w:pStyle w:val="ListParagraph"/>
              <w:numPr>
                <w:ilvl w:val="0"/>
                <w:numId w:val="9"/>
              </w:numPr>
              <w:spacing w:after="100"/>
              <w:ind w:left="242"/>
              <w:contextualSpacing w:val="0"/>
              <w:rPr>
                <w:rFonts w:ascii="Century Gothic" w:hAnsi="Century Gothic" w:cs="Calibri"/>
                <w:color w:val="000000"/>
                <w:sz w:val="20"/>
                <w:szCs w:val="20"/>
              </w:rPr>
            </w:pPr>
            <w:r w:rsidRPr="00BF7967">
              <w:rPr>
                <w:rFonts w:ascii="Century Gothic" w:hAnsi="Century Gothic" w:cs="Calibri"/>
                <w:color w:val="000000"/>
                <w:sz w:val="20"/>
                <w:szCs w:val="20"/>
              </w:rPr>
              <w:t>Become stuck in dead-end job, miss out on opportunities, and face layoffs due to company troubles.</w:t>
            </w:r>
          </w:p>
        </w:tc>
        <w:tc>
          <w:tcPr>
            <w:tcW w:w="4544"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hideMark/>
          </w:tcPr>
          <w:p w14:paraId="2FC5FD9D" w14:textId="777851A9" w:rsidR="004D00C6" w:rsidRPr="00BF7967" w:rsidRDefault="00366C25" w:rsidP="00D95484">
            <w:pPr>
              <w:pStyle w:val="ListParagraph"/>
              <w:numPr>
                <w:ilvl w:val="0"/>
                <w:numId w:val="9"/>
              </w:numPr>
              <w:spacing w:after="100"/>
              <w:ind w:left="242"/>
              <w:contextualSpacing w:val="0"/>
              <w:rPr>
                <w:rFonts w:ascii="Century Gothic" w:hAnsi="Century Gothic" w:cs="Calibri"/>
                <w:color w:val="000000"/>
                <w:sz w:val="20"/>
                <w:szCs w:val="20"/>
              </w:rPr>
            </w:pPr>
            <w:r>
              <w:rPr>
                <w:rFonts w:ascii="Century Gothic" w:hAnsi="Century Gothic" w:cs="Calibri"/>
                <w:color w:val="000000"/>
                <w:sz w:val="20"/>
                <w:szCs w:val="20"/>
              </w:rPr>
              <w:t>N</w:t>
            </w:r>
            <w:r w:rsidR="004D00C6" w:rsidRPr="00BF7967">
              <w:rPr>
                <w:rFonts w:ascii="Century Gothic" w:hAnsi="Century Gothic" w:cs="Calibri"/>
                <w:color w:val="000000"/>
                <w:sz w:val="20"/>
                <w:szCs w:val="20"/>
              </w:rPr>
              <w:t>ew job turns out to be poor fit and leads to job dissatisfaction or even job loss.</w:t>
            </w:r>
          </w:p>
        </w:tc>
      </w:tr>
    </w:tbl>
    <w:p w14:paraId="2DBA76ED" w14:textId="77777777" w:rsidR="003D28C3" w:rsidRPr="00BF7967" w:rsidRDefault="003D28C3" w:rsidP="00EB075A">
      <w:pPr>
        <w:rPr>
          <w:rFonts w:ascii="Century Gothic" w:hAnsi="Century Gothic"/>
          <w:szCs w:val="20"/>
        </w:rPr>
      </w:pPr>
    </w:p>
    <w:p w14:paraId="13D30615" w14:textId="77777777" w:rsidR="00D95484" w:rsidRPr="00BF7967" w:rsidRDefault="00D95484" w:rsidP="00EB075A">
      <w:pPr>
        <w:rPr>
          <w:rFonts w:ascii="Century Gothic" w:hAnsi="Century Gothic"/>
          <w:szCs w:val="20"/>
        </w:rPr>
      </w:pPr>
    </w:p>
    <w:p w14:paraId="1F06F56A" w14:textId="77777777" w:rsidR="00D95484" w:rsidRPr="00BF7967" w:rsidRDefault="00D95484" w:rsidP="00EB075A">
      <w:pPr>
        <w:rPr>
          <w:rFonts w:ascii="Century Gothic" w:hAnsi="Century Gothic"/>
          <w:szCs w:val="20"/>
        </w:rPr>
      </w:pPr>
    </w:p>
    <w:tbl>
      <w:tblPr>
        <w:tblStyle w:val="TableGrid"/>
        <w:tblW w:w="999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95484" w:rsidRPr="00BF7967" w14:paraId="28384DF7" w14:textId="77777777" w:rsidTr="00D95484">
        <w:trPr>
          <w:trHeight w:val="3107"/>
        </w:trPr>
        <w:tc>
          <w:tcPr>
            <w:tcW w:w="9990" w:type="dxa"/>
          </w:tcPr>
          <w:p w14:paraId="72E7451C" w14:textId="77777777" w:rsidR="005C01C6" w:rsidRPr="00BF7967" w:rsidRDefault="005C01C6" w:rsidP="00EB075A">
            <w:pPr>
              <w:rPr>
                <w:rFonts w:ascii="Century Gothic" w:hAnsi="Century Gothic"/>
                <w:b/>
              </w:rPr>
            </w:pPr>
          </w:p>
          <w:p w14:paraId="2D533464" w14:textId="77777777" w:rsidR="005C01C6" w:rsidRPr="00BF7967" w:rsidRDefault="005C01C6" w:rsidP="00EB075A">
            <w:pPr>
              <w:jc w:val="center"/>
              <w:rPr>
                <w:rFonts w:ascii="Century Gothic" w:hAnsi="Century Gothic"/>
                <w:b/>
              </w:rPr>
            </w:pPr>
            <w:r w:rsidRPr="00BF7967">
              <w:rPr>
                <w:rFonts w:ascii="Century Gothic" w:hAnsi="Century Gothic"/>
                <w:b/>
              </w:rPr>
              <w:t>DISCLAIMER</w:t>
            </w:r>
          </w:p>
          <w:p w14:paraId="6C0DA57C" w14:textId="77777777" w:rsidR="005C01C6" w:rsidRPr="00BF7967" w:rsidRDefault="005C01C6" w:rsidP="00EB075A">
            <w:pPr>
              <w:rPr>
                <w:rFonts w:ascii="Century Gothic" w:hAnsi="Century Gothic"/>
              </w:rPr>
            </w:pPr>
          </w:p>
          <w:p w14:paraId="4A8BCDA9" w14:textId="77777777" w:rsidR="005C01C6" w:rsidRPr="00BF7967" w:rsidRDefault="005C01C6" w:rsidP="00EB075A">
            <w:pPr>
              <w:spacing w:line="276" w:lineRule="auto"/>
              <w:rPr>
                <w:rFonts w:ascii="Century Gothic" w:hAnsi="Century Gothic"/>
              </w:rPr>
            </w:pPr>
            <w:r w:rsidRPr="00BF796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BF7967" w:rsidRDefault="005C01C6" w:rsidP="00EB075A">
            <w:pPr>
              <w:spacing w:line="276" w:lineRule="auto"/>
              <w:rPr>
                <w:rFonts w:ascii="Century Gothic" w:hAnsi="Century Gothic"/>
              </w:rPr>
            </w:pPr>
          </w:p>
        </w:tc>
      </w:tr>
    </w:tbl>
    <w:p w14:paraId="1313BE39" w14:textId="77777777" w:rsidR="005C01C6" w:rsidRPr="00BF7967" w:rsidRDefault="005C01C6" w:rsidP="00EB075A">
      <w:pPr>
        <w:rPr>
          <w:rFonts w:ascii="Century Gothic" w:hAnsi="Century Gothic"/>
          <w:szCs w:val="20"/>
        </w:rPr>
      </w:pPr>
    </w:p>
    <w:p w14:paraId="00000050" w14:textId="77777777" w:rsidR="00C62A39" w:rsidRPr="00BF7967" w:rsidRDefault="00C62A39" w:rsidP="00EB075A">
      <w:pPr>
        <w:spacing w:after="120"/>
        <w:rPr>
          <w:rFonts w:ascii="Century Gothic" w:hAnsi="Century Gothic"/>
        </w:rPr>
      </w:pPr>
    </w:p>
    <w:sectPr w:rsidR="00C62A39" w:rsidRPr="00BF7967" w:rsidSect="00902BB0">
      <w:pgSz w:w="12240" w:h="15840"/>
      <w:pgMar w:top="495" w:right="576" w:bottom="432"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B3B0F"/>
    <w:multiLevelType w:val="hybridMultilevel"/>
    <w:tmpl w:val="6C7EB898"/>
    <w:lvl w:ilvl="0" w:tplc="4600DC94">
      <w:start w:val="1"/>
      <w:numFmt w:val="bullet"/>
      <w:lvlText w:val=""/>
      <w:lvlJc w:val="left"/>
      <w:pPr>
        <w:ind w:left="360" w:hanging="216"/>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6747AB"/>
    <w:multiLevelType w:val="hybridMultilevel"/>
    <w:tmpl w:val="6B10D25A"/>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CE16A2"/>
    <w:multiLevelType w:val="hybridMultilevel"/>
    <w:tmpl w:val="FA94826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8"/>
  </w:num>
  <w:num w:numId="2" w16cid:durableId="644359293">
    <w:abstractNumId w:val="0"/>
  </w:num>
  <w:num w:numId="3" w16cid:durableId="2009940318">
    <w:abstractNumId w:val="3"/>
  </w:num>
  <w:num w:numId="4" w16cid:durableId="242372467">
    <w:abstractNumId w:val="6"/>
  </w:num>
  <w:num w:numId="5" w16cid:durableId="410080439">
    <w:abstractNumId w:val="4"/>
  </w:num>
  <w:num w:numId="6" w16cid:durableId="69357174">
    <w:abstractNumId w:val="7"/>
  </w:num>
  <w:num w:numId="7" w16cid:durableId="1311058518">
    <w:abstractNumId w:val="5"/>
  </w:num>
  <w:num w:numId="8" w16cid:durableId="1727874243">
    <w:abstractNumId w:val="1"/>
  </w:num>
  <w:num w:numId="9" w16cid:durableId="124842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5173C"/>
    <w:rsid w:val="000E42C1"/>
    <w:rsid w:val="001218D4"/>
    <w:rsid w:val="00133A8B"/>
    <w:rsid w:val="00146DB2"/>
    <w:rsid w:val="00196614"/>
    <w:rsid w:val="001966FC"/>
    <w:rsid w:val="001A376C"/>
    <w:rsid w:val="001B4D84"/>
    <w:rsid w:val="001E25B4"/>
    <w:rsid w:val="001F6EFE"/>
    <w:rsid w:val="00217C0F"/>
    <w:rsid w:val="00252554"/>
    <w:rsid w:val="00270611"/>
    <w:rsid w:val="002815C6"/>
    <w:rsid w:val="00323ABF"/>
    <w:rsid w:val="00337227"/>
    <w:rsid w:val="003447E4"/>
    <w:rsid w:val="00360227"/>
    <w:rsid w:val="00363FC1"/>
    <w:rsid w:val="00366C25"/>
    <w:rsid w:val="003A273E"/>
    <w:rsid w:val="003C552D"/>
    <w:rsid w:val="003D10EF"/>
    <w:rsid w:val="003D28C3"/>
    <w:rsid w:val="003D3131"/>
    <w:rsid w:val="003D7EB7"/>
    <w:rsid w:val="003E2F8A"/>
    <w:rsid w:val="00426105"/>
    <w:rsid w:val="00432C00"/>
    <w:rsid w:val="004508B8"/>
    <w:rsid w:val="004D00C6"/>
    <w:rsid w:val="004D1D7C"/>
    <w:rsid w:val="004D69CA"/>
    <w:rsid w:val="00581D0B"/>
    <w:rsid w:val="005B25F0"/>
    <w:rsid w:val="005C01C6"/>
    <w:rsid w:val="005D2711"/>
    <w:rsid w:val="00603E38"/>
    <w:rsid w:val="006E2CEC"/>
    <w:rsid w:val="006E3022"/>
    <w:rsid w:val="00706127"/>
    <w:rsid w:val="007364DE"/>
    <w:rsid w:val="00753768"/>
    <w:rsid w:val="007E3446"/>
    <w:rsid w:val="00807301"/>
    <w:rsid w:val="0085173B"/>
    <w:rsid w:val="00851949"/>
    <w:rsid w:val="008A34E6"/>
    <w:rsid w:val="008A4E88"/>
    <w:rsid w:val="008D1479"/>
    <w:rsid w:val="00902BB0"/>
    <w:rsid w:val="009206DB"/>
    <w:rsid w:val="00923F27"/>
    <w:rsid w:val="009508CC"/>
    <w:rsid w:val="009B5040"/>
    <w:rsid w:val="009C7289"/>
    <w:rsid w:val="00A37433"/>
    <w:rsid w:val="00A50CA7"/>
    <w:rsid w:val="00A77B66"/>
    <w:rsid w:val="00AA0FBD"/>
    <w:rsid w:val="00AC5155"/>
    <w:rsid w:val="00AD7BB2"/>
    <w:rsid w:val="00B378B8"/>
    <w:rsid w:val="00B47846"/>
    <w:rsid w:val="00B61D3C"/>
    <w:rsid w:val="00B74DDA"/>
    <w:rsid w:val="00BB24BB"/>
    <w:rsid w:val="00BC4A2A"/>
    <w:rsid w:val="00BE49C1"/>
    <w:rsid w:val="00BF7967"/>
    <w:rsid w:val="00C47638"/>
    <w:rsid w:val="00C62A39"/>
    <w:rsid w:val="00D528A1"/>
    <w:rsid w:val="00D95484"/>
    <w:rsid w:val="00D95DB4"/>
    <w:rsid w:val="00E470AA"/>
    <w:rsid w:val="00E66F09"/>
    <w:rsid w:val="00EB075A"/>
    <w:rsid w:val="00EE21C0"/>
    <w:rsid w:val="00F23FE3"/>
    <w:rsid w:val="00F53371"/>
    <w:rsid w:val="00F64B89"/>
    <w:rsid w:val="00F71985"/>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11247945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62&amp;utm_source=template-word&amp;utm_medium=content&amp;utm_campaign=Printable+Pros+and+Cons+Worksheet+Example-word-11962&amp;lpa=Printable+Pros+and+Cons+Worksheet+Example+word+119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3</cp:revision>
  <cp:lastPrinted>2023-11-19T23:35:00Z</cp:lastPrinted>
  <dcterms:created xsi:type="dcterms:W3CDTF">2024-02-12T18:19:00Z</dcterms:created>
  <dcterms:modified xsi:type="dcterms:W3CDTF">2024-02-15T23:25:00Z</dcterms:modified>
</cp:coreProperties>
</file>