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1DB9" w14:textId="19BC202E" w:rsidR="004E66E3" w:rsidRPr="00AA3E94" w:rsidRDefault="00296645" w:rsidP="004E66E3">
      <w:pPr>
        <w:rPr>
          <w:rFonts w:ascii="Century Gothic" w:hAnsi="Century Gothic"/>
          <w:b/>
          <w:noProof/>
          <w:color w:val="595959" w:themeColor="text1" w:themeTint="A6"/>
          <w:sz w:val="38"/>
          <w:szCs w:val="38"/>
        </w:rPr>
      </w:pPr>
      <w:r w:rsidRPr="00AA3E94">
        <w:rPr>
          <w:rFonts w:ascii="Century Gothic" w:hAnsi="Century Gothic"/>
          <w:b/>
          <w:noProof/>
          <w:color w:val="595959" w:themeColor="text1" w:themeTint="A6"/>
          <w:sz w:val="38"/>
          <w:szCs w:val="38"/>
        </w:rPr>
        <w:drawing>
          <wp:anchor distT="0" distB="0" distL="114300" distR="114300" simplePos="0" relativeHeight="251659264" behindDoc="0" locked="0" layoutInCell="1" allowOverlap="1" wp14:anchorId="3BDF9F23" wp14:editId="71DA2AFC">
            <wp:simplePos x="0" y="0"/>
            <wp:positionH relativeFrom="column">
              <wp:posOffset>4010628</wp:posOffset>
            </wp:positionH>
            <wp:positionV relativeFrom="paragraph">
              <wp:posOffset>-6945</wp:posOffset>
            </wp:positionV>
            <wp:extent cx="2888359" cy="400833"/>
            <wp:effectExtent l="0" t="0" r="0" b="5715"/>
            <wp:wrapNone/>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891805" cy="401311"/>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Cs/>
          <w:noProof/>
          <w:color w:val="005B60"/>
          <w14:ligatures w14:val="standardContextual"/>
        </w:rPr>
        <mc:AlternateContent>
          <mc:Choice Requires="wps">
            <w:drawing>
              <wp:anchor distT="0" distB="0" distL="114300" distR="114300" simplePos="0" relativeHeight="251660288" behindDoc="1" locked="0" layoutInCell="1" allowOverlap="1" wp14:anchorId="14D6459C" wp14:editId="6F8C472F">
                <wp:simplePos x="0" y="0"/>
                <wp:positionH relativeFrom="column">
                  <wp:posOffset>-457200</wp:posOffset>
                </wp:positionH>
                <wp:positionV relativeFrom="paragraph">
                  <wp:posOffset>-365760</wp:posOffset>
                </wp:positionV>
                <wp:extent cx="7772400" cy="5614416"/>
                <wp:effectExtent l="0" t="0" r="0" b="0"/>
                <wp:wrapNone/>
                <wp:docPr id="923982156" name="Rectangle 1"/>
                <wp:cNvGraphicFramePr/>
                <a:graphic xmlns:a="http://schemas.openxmlformats.org/drawingml/2006/main">
                  <a:graphicData uri="http://schemas.microsoft.com/office/word/2010/wordprocessingShape">
                    <wps:wsp>
                      <wps:cNvSpPr/>
                      <wps:spPr>
                        <a:xfrm>
                          <a:off x="0" y="0"/>
                          <a:ext cx="7772400" cy="5614416"/>
                        </a:xfrm>
                        <a:prstGeom prst="rect">
                          <a:avLst/>
                        </a:prstGeom>
                        <a:gradFill>
                          <a:gsLst>
                            <a:gs pos="47000">
                              <a:schemeClr val="bg1"/>
                            </a:gs>
                            <a:gs pos="82000">
                              <a:srgbClr val="E6F1EF"/>
                            </a:gs>
                          </a:gsLst>
                          <a:lin ang="360000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2B96F" id="Rectangle 1" o:spid="_x0000_s1026" style="position:absolute;margin-left:-36pt;margin-top:-28.8pt;width:612pt;height:44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" fillcolor="white [3212]" stroked="f" strokeweight="1pt">
                <v:fill color2="#e6f1ef" angle="30" colors="0 white;30802f white" focus="100%" type="gradient">
                  <o:fill v:ext="view" type="gradientUnscaled"/>
                </v:fill>
              </v:rect>
            </w:pict>
          </mc:Fallback>
        </mc:AlternateContent>
      </w:r>
      <w:r w:rsidR="00DC105D" w:rsidRPr="00AA3E94">
        <w:rPr>
          <w:rFonts w:ascii="Century Gothic" w:hAnsi="Century Gothic"/>
          <w:b/>
          <w:noProof/>
          <w:color w:val="595959" w:themeColor="text1" w:themeTint="A6"/>
          <w:sz w:val="38"/>
          <w:szCs w:val="38"/>
        </w:rPr>
        <w:t>Creative Workflow Cheat Sheet</w:t>
      </w:r>
      <w:r w:rsidR="004E66E3" w:rsidRPr="00AA3E94">
        <w:rPr>
          <w:rFonts w:ascii="Century Gothic" w:hAnsi="Century Gothic"/>
          <w:b/>
          <w:noProof/>
          <w:color w:val="595959" w:themeColor="text1" w:themeTint="A6"/>
          <w:sz w:val="38"/>
          <w:szCs w:val="38"/>
        </w:rPr>
        <w:t xml:space="preserve">: </w:t>
      </w:r>
    </w:p>
    <w:p w14:paraId="4650490C" w14:textId="6517F4CC" w:rsidR="004E66E3" w:rsidRPr="00296645" w:rsidRDefault="00DC105D" w:rsidP="004E66E3">
      <w:pPr>
        <w:ind w:right="198"/>
        <w:rPr>
          <w:rFonts w:ascii="Century Gothic" w:hAnsi="Century Gothic"/>
          <w:bCs/>
          <w:noProof/>
          <w:color w:val="595959" w:themeColor="text1" w:themeTint="A6"/>
          <w:sz w:val="42"/>
          <w:szCs w:val="42"/>
        </w:rPr>
      </w:pPr>
      <w:r w:rsidRPr="00296645">
        <w:rPr>
          <w:rFonts w:ascii="Century Gothic" w:hAnsi="Century Gothic"/>
          <w:bCs/>
          <w:noProof/>
          <w:color w:val="595959" w:themeColor="text1" w:themeTint="A6"/>
          <w:sz w:val="42"/>
          <w:szCs w:val="42"/>
        </w:rPr>
        <w:t>How to Streamline Your Efforts</w:t>
      </w:r>
    </w:p>
    <w:p w14:paraId="6D18B09E" w14:textId="6A82C937" w:rsidR="00DC105D" w:rsidRPr="00811160" w:rsidRDefault="00DC105D" w:rsidP="004E66E3">
      <w:pPr>
        <w:ind w:right="198"/>
        <w:rPr>
          <w:rFonts w:ascii="Century Gothic" w:hAnsi="Century Gothic"/>
          <w:bCs/>
          <w:noProof/>
          <w:color w:val="000000" w:themeColor="text1"/>
          <w:sz w:val="14"/>
          <w:szCs w:val="14"/>
        </w:rPr>
      </w:pPr>
    </w:p>
    <w:p w14:paraId="110F3192" w14:textId="6E3C7961" w:rsidR="004E66E3" w:rsidRDefault="004E66E3" w:rsidP="004E66E3">
      <w:pPr>
        <w:rPr>
          <w:rFonts w:ascii="Century Gothic" w:hAnsi="Century Gothic"/>
          <w:bCs/>
          <w:noProof/>
          <w:color w:val="595959" w:themeColor="text1" w:themeTint="A6"/>
        </w:rPr>
      </w:pPr>
      <w:r w:rsidRPr="00296645">
        <w:rPr>
          <w:rFonts w:ascii="Century Gothic" w:hAnsi="Century Gothic"/>
          <w:bCs/>
          <w:noProof/>
          <w:color w:val="005B60"/>
        </w:rPr>
        <mc:AlternateContent>
          <mc:Choice Requires="wps">
            <w:drawing>
              <wp:inline distT="0" distB="0" distL="0" distR="0" wp14:anchorId="58A99162" wp14:editId="1048F78B">
                <wp:extent cx="6903720" cy="740410"/>
                <wp:effectExtent l="0" t="0" r="5080" b="0"/>
                <wp:docPr id="829665044" name="Rectangle 1"/>
                <wp:cNvGraphicFramePr/>
                <a:graphic xmlns:a="http://schemas.openxmlformats.org/drawingml/2006/main">
                  <a:graphicData uri="http://schemas.microsoft.com/office/word/2010/wordprocessingShape">
                    <wps:wsp>
                      <wps:cNvSpPr/>
                      <wps:spPr>
                        <a:xfrm>
                          <a:off x="0" y="0"/>
                          <a:ext cx="6903720" cy="740410"/>
                        </a:xfrm>
                        <a:prstGeom prst="roundRect">
                          <a:avLst>
                            <a:gd name="adj" fmla="val 10414"/>
                          </a:avLst>
                        </a:prstGeom>
                        <a:gradFill>
                          <a:gsLst>
                            <a:gs pos="20000">
                              <a:schemeClr val="bg1"/>
                            </a:gs>
                            <a:gs pos="82000">
                              <a:srgbClr val="E6F1EF"/>
                            </a:gs>
                          </a:gsLst>
                          <a:lin ang="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729770B0" w14:textId="77777777" w:rsidR="00296645" w:rsidRDefault="00DC105D" w:rsidP="004E66E3">
                            <w:pPr>
                              <w:ind w:right="198"/>
                              <w:rPr>
                                <w:rFonts w:ascii="Century Gothic" w:hAnsi="Century Gothic"/>
                                <w:bCs/>
                                <w:noProof/>
                                <w:color w:val="005B60"/>
                                <w:sz w:val="26"/>
                                <w:szCs w:val="26"/>
                              </w:rPr>
                            </w:pPr>
                            <w:r w:rsidRPr="00296645">
                              <w:rPr>
                                <w:rFonts w:ascii="Century Gothic" w:hAnsi="Century Gothic"/>
                                <w:bCs/>
                                <w:noProof/>
                                <w:color w:val="005B60"/>
                                <w:sz w:val="26"/>
                                <w:szCs w:val="26"/>
                              </w:rPr>
                              <w:t xml:space="preserve">This cheat sheet features top tips from experts on how to make your processes </w:t>
                            </w:r>
                          </w:p>
                          <w:p w14:paraId="260F0B26" w14:textId="77777777" w:rsidR="00296645" w:rsidRDefault="00DC105D" w:rsidP="004E66E3">
                            <w:pPr>
                              <w:ind w:right="198"/>
                              <w:rPr>
                                <w:rFonts w:ascii="Century Gothic" w:hAnsi="Century Gothic"/>
                                <w:bCs/>
                                <w:noProof/>
                                <w:color w:val="005B60"/>
                                <w:sz w:val="26"/>
                                <w:szCs w:val="26"/>
                              </w:rPr>
                            </w:pPr>
                            <w:r w:rsidRPr="00296645">
                              <w:rPr>
                                <w:rFonts w:ascii="Century Gothic" w:hAnsi="Century Gothic"/>
                                <w:bCs/>
                                <w:noProof/>
                                <w:color w:val="005B60"/>
                                <w:sz w:val="26"/>
                                <w:szCs w:val="26"/>
                              </w:rPr>
                              <w:t xml:space="preserve">as efficient as possible. The tips are organized into two main categories: </w:t>
                            </w:r>
                          </w:p>
                          <w:p w14:paraId="495AAF53" w14:textId="36CB086D" w:rsidR="004E66E3" w:rsidRPr="00296645" w:rsidRDefault="00DC105D" w:rsidP="004E66E3">
                            <w:pPr>
                              <w:ind w:right="198"/>
                              <w:rPr>
                                <w:color w:val="005B60"/>
                                <w:sz w:val="26"/>
                                <w:szCs w:val="26"/>
                              </w:rPr>
                            </w:pPr>
                            <w:r w:rsidRPr="00296645">
                              <w:rPr>
                                <w:rFonts w:ascii="Century Gothic" w:hAnsi="Century Gothic"/>
                                <w:bCs/>
                                <w:noProof/>
                                <w:color w:val="005B60"/>
                                <w:sz w:val="26"/>
                                <w:szCs w:val="26"/>
                              </w:rPr>
                              <w:t>client management and processes.</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inline>
            </w:drawing>
          </mc:Choice>
          <mc:Fallback>
            <w:pict>
              <v:roundrect w14:anchorId="58A99162" id="Rectangle 1" o:spid="_x0000_s1026" style="width:543.6pt;height:58.3pt;visibility:visible;mso-wrap-style:square;mso-left-percent:-10001;mso-top-percent:-10001;mso-position-horizontal:absolute;mso-position-horizontal-relative:char;mso-position-vertical:absolute;mso-position-vertical-relative:line;mso-left-percent:-10001;mso-top-percent:-10001;v-text-anchor:middle" arcsize="682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" fillcolor="white [3212]" stroked="f" strokeweight=".5pt">
                <v:fill color2="#e6f1ef" rotate="t" angle="90" colors="0 white;13107f white" focus="100%" type="gradient">
                  <o:fill v:ext="view" type="gradientUnscaled"/>
                </v:fill>
                <v:stroke joinstyle="miter"/>
                <v:textbox inset="0,0,,0">
                  <w:txbxContent>
                    <w:p w14:paraId="729770B0" w14:textId="77777777" w:rsidR="00296645" w:rsidRDefault="00DC105D" w:rsidP="004E66E3">
                      <w:pPr>
                        <w:ind w:right="198"/>
                        <w:rPr>
                          <w:rFonts w:ascii="Century Gothic" w:hAnsi="Century Gothic"/>
                          <w:bCs/>
                          <w:noProof/>
                          <w:color w:val="005B60"/>
                          <w:sz w:val="26"/>
                          <w:szCs w:val="26"/>
                        </w:rPr>
                      </w:pPr>
                      <w:r w:rsidRPr="00296645">
                        <w:rPr>
                          <w:rFonts w:ascii="Century Gothic" w:hAnsi="Century Gothic"/>
                          <w:bCs/>
                          <w:noProof/>
                          <w:color w:val="005B60"/>
                          <w:sz w:val="26"/>
                          <w:szCs w:val="26"/>
                        </w:rPr>
                        <w:t xml:space="preserve">This cheat sheet features top tips from experts on how to make your processes </w:t>
                      </w:r>
                    </w:p>
                    <w:p w14:paraId="260F0B26" w14:textId="77777777" w:rsidR="00296645" w:rsidRDefault="00DC105D" w:rsidP="004E66E3">
                      <w:pPr>
                        <w:ind w:right="198"/>
                        <w:rPr>
                          <w:rFonts w:ascii="Century Gothic" w:hAnsi="Century Gothic"/>
                          <w:bCs/>
                          <w:noProof/>
                          <w:color w:val="005B60"/>
                          <w:sz w:val="26"/>
                          <w:szCs w:val="26"/>
                        </w:rPr>
                      </w:pPr>
                      <w:r w:rsidRPr="00296645">
                        <w:rPr>
                          <w:rFonts w:ascii="Century Gothic" w:hAnsi="Century Gothic"/>
                          <w:bCs/>
                          <w:noProof/>
                          <w:color w:val="005B60"/>
                          <w:sz w:val="26"/>
                          <w:szCs w:val="26"/>
                        </w:rPr>
                        <w:t xml:space="preserve">as efficient as possible. The tips are organized into two main categories: </w:t>
                      </w:r>
                    </w:p>
                    <w:p w14:paraId="495AAF53" w14:textId="36CB086D" w:rsidR="004E66E3" w:rsidRPr="00296645" w:rsidRDefault="00DC105D" w:rsidP="004E66E3">
                      <w:pPr>
                        <w:ind w:right="198"/>
                        <w:rPr>
                          <w:color w:val="005B60"/>
                          <w:sz w:val="26"/>
                          <w:szCs w:val="26"/>
                        </w:rPr>
                      </w:pPr>
                      <w:r w:rsidRPr="00296645">
                        <w:rPr>
                          <w:rFonts w:ascii="Century Gothic" w:hAnsi="Century Gothic"/>
                          <w:bCs/>
                          <w:noProof/>
                          <w:color w:val="005B60"/>
                          <w:sz w:val="26"/>
                          <w:szCs w:val="26"/>
                        </w:rPr>
                        <w:t>client management and processes.</w:t>
                      </w:r>
                    </w:p>
                  </w:txbxContent>
                </v:textbox>
                <w10:anchorlock/>
              </v:roundrect>
            </w:pict>
          </mc:Fallback>
        </mc:AlternateContent>
      </w:r>
    </w:p>
    <w:p w14:paraId="0EED6A36" w14:textId="77777777" w:rsidR="004E66E3" w:rsidRPr="00540D45" w:rsidRDefault="004E66E3" w:rsidP="004E66E3">
      <w:pPr>
        <w:rPr>
          <w:rFonts w:ascii="Century Gothic" w:hAnsi="Century Gothic"/>
          <w:bCs/>
          <w:noProof/>
          <w:color w:val="595959" w:themeColor="text1" w:themeTint="A6"/>
          <w:sz w:val="16"/>
          <w:szCs w:val="16"/>
        </w:rPr>
      </w:pPr>
    </w:p>
    <w:p w14:paraId="451047A0" w14:textId="64F6F33B" w:rsidR="004E66E3" w:rsidRPr="00296645" w:rsidRDefault="00DE372F" w:rsidP="00DE372F">
      <w:pPr>
        <w:spacing w:line="276" w:lineRule="auto"/>
        <w:ind w:right="162"/>
        <w:rPr>
          <w:rFonts w:ascii="Century Gothic" w:hAnsi="Century Gothic"/>
          <w:bCs/>
          <w:noProof/>
          <w:color w:val="005B60"/>
          <w:sz w:val="36"/>
          <w:szCs w:val="36"/>
        </w:rPr>
      </w:pPr>
      <w:r w:rsidRPr="00296645">
        <w:rPr>
          <w:rFonts w:ascii="Century Gothic" w:hAnsi="Century Gothic"/>
          <w:bCs/>
          <w:noProof/>
          <w:color w:val="005B60"/>
          <w:sz w:val="36"/>
          <w:szCs w:val="36"/>
        </w:rPr>
        <w:t>CLIENT MANAGEMENT</w:t>
      </w:r>
    </w:p>
    <w:p w14:paraId="1C988CD5" w14:textId="15D295F8" w:rsidR="004E66E3" w:rsidRPr="001E18D8" w:rsidRDefault="00DE372F" w:rsidP="00DE372F">
      <w:pPr>
        <w:spacing w:after="180" w:line="276" w:lineRule="auto"/>
        <w:ind w:right="162"/>
        <w:rPr>
          <w:rFonts w:ascii="Century Gothic" w:hAnsi="Century Gothic"/>
          <w:color w:val="222222"/>
          <w:sz w:val="21"/>
          <w:szCs w:val="21"/>
        </w:rPr>
      </w:pPr>
      <w:r w:rsidRPr="00296645">
        <w:rPr>
          <w:rFonts w:ascii="Century Gothic" w:hAnsi="Century Gothic"/>
          <w:b/>
          <w:color w:val="005B60"/>
          <w:sz w:val="22"/>
          <w:szCs w:val="22"/>
        </w:rPr>
        <w:t>Clarify the Project Scope with the Client Upfront</w:t>
      </w:r>
      <w:r w:rsidR="004E66E3" w:rsidRPr="00540D45">
        <w:rPr>
          <w:rFonts w:ascii="Century Gothic" w:hAnsi="Century Gothic"/>
          <w:sz w:val="22"/>
          <w:szCs w:val="22"/>
        </w:rPr>
        <w:t xml:space="preserve">: </w:t>
      </w:r>
      <w:hyperlink r:id="rId8" w:history="1">
        <w:r w:rsidRPr="00DE372F">
          <w:rPr>
            <w:rStyle w:val="Hyperlink"/>
            <w:rFonts w:ascii="Century Gothic" w:hAnsi="Century Gothic"/>
            <w:sz w:val="21"/>
            <w:szCs w:val="21"/>
          </w:rPr>
          <w:t>Gianluca Ferruggia</w:t>
        </w:r>
      </w:hyperlink>
      <w:r w:rsidRPr="00DE372F">
        <w:rPr>
          <w:rFonts w:ascii="Century Gothic" w:hAnsi="Century Gothic"/>
          <w:sz w:val="21"/>
          <w:szCs w:val="21"/>
        </w:rPr>
        <w:t xml:space="preserve"> is the general manager at DesignRush. “Set clear expectations and roles from the outset, and incorporate regular feedback sessions,” he says. Doing so will ensure that everyone is on the same page from the beginning, which will cut down on back-and-forth during asset development.</w:t>
      </w:r>
    </w:p>
    <w:p w14:paraId="235F9AB4" w14:textId="595F80CD" w:rsidR="004E66E3" w:rsidRPr="001E18D8" w:rsidRDefault="00DE372F" w:rsidP="00DE372F">
      <w:pPr>
        <w:spacing w:after="180" w:line="276" w:lineRule="auto"/>
        <w:ind w:right="162"/>
        <w:rPr>
          <w:rFonts w:ascii="Century Gothic" w:hAnsi="Century Gothic"/>
          <w:sz w:val="21"/>
          <w:szCs w:val="21"/>
        </w:rPr>
      </w:pPr>
      <w:r w:rsidRPr="00296645">
        <w:rPr>
          <w:rFonts w:ascii="Century Gothic" w:hAnsi="Century Gothic"/>
          <w:b/>
          <w:color w:val="005B60"/>
          <w:sz w:val="22"/>
          <w:szCs w:val="22"/>
        </w:rPr>
        <w:t>Include the Client in Creative Discussions</w:t>
      </w:r>
      <w:r w:rsidR="004E66E3" w:rsidRPr="00296645">
        <w:rPr>
          <w:rFonts w:ascii="Century Gothic" w:hAnsi="Century Gothic"/>
          <w:b/>
          <w:color w:val="005B60"/>
          <w:sz w:val="22"/>
          <w:szCs w:val="22"/>
        </w:rPr>
        <w:t xml:space="preserve">: </w:t>
      </w:r>
      <w:r w:rsidRPr="00DE372F">
        <w:rPr>
          <w:rFonts w:ascii="Century Gothic" w:hAnsi="Century Gothic"/>
          <w:sz w:val="21"/>
          <w:szCs w:val="21"/>
        </w:rPr>
        <w:t xml:space="preserve">“Early in my career, my biggest mistake was thinking the client didn’t know anything,” says Kat Yowell, a Senior Designer with </w:t>
      </w:r>
      <w:hyperlink r:id="rId9" w:history="1">
        <w:r w:rsidRPr="00DE372F">
          <w:rPr>
            <w:rStyle w:val="Hyperlink"/>
            <w:rFonts w:ascii="Century Gothic" w:hAnsi="Century Gothic"/>
            <w:sz w:val="21"/>
            <w:szCs w:val="21"/>
          </w:rPr>
          <w:t>Lucid Agency</w:t>
        </w:r>
      </w:hyperlink>
      <w:r w:rsidRPr="00DE372F">
        <w:rPr>
          <w:rFonts w:ascii="Century Gothic" w:hAnsi="Century Gothic"/>
          <w:sz w:val="21"/>
          <w:szCs w:val="21"/>
        </w:rPr>
        <w:t>. The client has the deepest understanding of their own brand, so it’s crucial to take their direction on the look and feel of all assets you produce for them.</w:t>
      </w:r>
    </w:p>
    <w:p w14:paraId="25BE9E45" w14:textId="34133AA4" w:rsidR="004E66E3" w:rsidRPr="001E18D8" w:rsidRDefault="00296645" w:rsidP="00DE372F">
      <w:pPr>
        <w:spacing w:after="180" w:line="276" w:lineRule="auto"/>
        <w:ind w:right="162"/>
        <w:rPr>
          <w:rFonts w:ascii="Century Gothic" w:hAnsi="Century Gothic"/>
          <w:sz w:val="21"/>
          <w:szCs w:val="21"/>
        </w:rPr>
      </w:pPr>
      <w:r>
        <w:rPr>
          <w:rFonts w:ascii="Century Gothic" w:hAnsi="Century Gothic"/>
          <w:bCs/>
          <w:noProof/>
          <w:color w:val="005B60"/>
          <w14:ligatures w14:val="standardContextual"/>
        </w:rPr>
        <mc:AlternateContent>
          <mc:Choice Requires="wps">
            <w:drawing>
              <wp:anchor distT="0" distB="0" distL="114300" distR="114300" simplePos="0" relativeHeight="251658239" behindDoc="1" locked="0" layoutInCell="1" allowOverlap="1" wp14:anchorId="518E47E7" wp14:editId="5F31F198">
                <wp:simplePos x="0" y="0"/>
                <wp:positionH relativeFrom="column">
                  <wp:posOffset>-457200</wp:posOffset>
                </wp:positionH>
                <wp:positionV relativeFrom="paragraph">
                  <wp:posOffset>127635</wp:posOffset>
                </wp:positionV>
                <wp:extent cx="7772400" cy="5913594"/>
                <wp:effectExtent l="0" t="0" r="0" b="5080"/>
                <wp:wrapNone/>
                <wp:docPr id="1107019276" name="Rectangle 1"/>
                <wp:cNvGraphicFramePr/>
                <a:graphic xmlns:a="http://schemas.openxmlformats.org/drawingml/2006/main">
                  <a:graphicData uri="http://schemas.microsoft.com/office/word/2010/wordprocessingShape">
                    <wps:wsp>
                      <wps:cNvSpPr/>
                      <wps:spPr>
                        <a:xfrm>
                          <a:off x="0" y="0"/>
                          <a:ext cx="7772400" cy="5913594"/>
                        </a:xfrm>
                        <a:prstGeom prst="rect">
                          <a:avLst/>
                        </a:prstGeom>
                        <a:gradFill>
                          <a:gsLst>
                            <a:gs pos="47000">
                              <a:schemeClr val="bg1"/>
                            </a:gs>
                            <a:gs pos="82000">
                              <a:srgbClr val="E6F1EF"/>
                            </a:gs>
                          </a:gsLst>
                          <a:lin ang="360000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A923A" id="Rectangle 1" o:spid="_x0000_s1026" style="position:absolute;margin-left:-36pt;margin-top:10.05pt;width:612pt;height:465.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" fillcolor="white [3212]" stroked="f" strokeweight="1pt">
                <v:fill color2="#e6f1ef" angle="30" colors="0 white;30802f white" focus="100%" type="gradient">
                  <o:fill v:ext="view" type="gradientUnscaled"/>
                </v:fill>
              </v:rect>
            </w:pict>
          </mc:Fallback>
        </mc:AlternateContent>
      </w:r>
      <w:r w:rsidR="00DE372F" w:rsidRPr="00296645">
        <w:rPr>
          <w:rFonts w:ascii="Century Gothic" w:hAnsi="Century Gothic"/>
          <w:b/>
          <w:color w:val="005B60"/>
          <w:sz w:val="22"/>
          <w:szCs w:val="22"/>
        </w:rPr>
        <w:t>Explain Your Processes</w:t>
      </w:r>
      <w:r w:rsidR="004E66E3" w:rsidRPr="00296645">
        <w:rPr>
          <w:rFonts w:ascii="Century Gothic" w:hAnsi="Century Gothic"/>
          <w:b/>
          <w:color w:val="005B60"/>
          <w:sz w:val="22"/>
          <w:szCs w:val="22"/>
        </w:rPr>
        <w:t xml:space="preserve">: </w:t>
      </w:r>
      <w:r w:rsidR="00DE372F" w:rsidRPr="00DE372F">
        <w:rPr>
          <w:rFonts w:ascii="Century Gothic" w:hAnsi="Century Gothic"/>
          <w:sz w:val="21"/>
          <w:szCs w:val="21"/>
        </w:rPr>
        <w:t>Gianluca Ferruggia of DesignRush says explaining processes to clients clearly, “helps to educate them about your process and how it benefits the project outcome.” They will be much more likely to accept your way of doing things if they understand the intention and expected benefit.</w:t>
      </w:r>
    </w:p>
    <w:p w14:paraId="1CCA7D5B" w14:textId="7376EA9B" w:rsidR="004E66E3" w:rsidRPr="001E18D8" w:rsidRDefault="00DE372F" w:rsidP="00DE372F">
      <w:pPr>
        <w:spacing w:after="180" w:line="276" w:lineRule="auto"/>
        <w:ind w:right="162"/>
        <w:rPr>
          <w:rFonts w:ascii="Century Gothic" w:hAnsi="Century Gothic"/>
          <w:sz w:val="21"/>
          <w:szCs w:val="21"/>
        </w:rPr>
      </w:pPr>
      <w:r w:rsidRPr="00296645">
        <w:rPr>
          <w:rFonts w:ascii="Century Gothic" w:hAnsi="Century Gothic"/>
          <w:b/>
          <w:color w:val="005B60"/>
          <w:sz w:val="22"/>
          <w:szCs w:val="22"/>
        </w:rPr>
        <w:t>Don’t Plow Forward Without Client Approval</w:t>
      </w:r>
      <w:r w:rsidR="004E66E3" w:rsidRPr="00296645">
        <w:rPr>
          <w:rFonts w:ascii="Century Gothic" w:hAnsi="Century Gothic"/>
          <w:b/>
          <w:color w:val="005B60"/>
          <w:sz w:val="22"/>
          <w:szCs w:val="22"/>
        </w:rPr>
        <w:t xml:space="preserve">: </w:t>
      </w:r>
      <w:r w:rsidRPr="00DE372F">
        <w:rPr>
          <w:rFonts w:ascii="Century Gothic" w:hAnsi="Century Gothic"/>
          <w:sz w:val="21"/>
          <w:szCs w:val="21"/>
        </w:rPr>
        <w:t>“Coming in with a bunch of (web) pages designed before the client has seen even one design can backfire hugely,” Yowell says. Use each review round to get as much feedback as possible and determine clear next steps. Make sure to capture client feedback in real time — either with a designated note taker or by recording the meeting — to keep everyone aligned.</w:t>
      </w:r>
    </w:p>
    <w:p w14:paraId="7F53E56F" w14:textId="78C541D3" w:rsidR="00540D45" w:rsidRPr="00296645" w:rsidRDefault="00DE372F" w:rsidP="00DE372F">
      <w:pPr>
        <w:spacing w:before="360" w:line="276" w:lineRule="auto"/>
        <w:ind w:right="162"/>
        <w:rPr>
          <w:rFonts w:ascii="Century Gothic" w:hAnsi="Century Gothic"/>
          <w:bCs/>
          <w:noProof/>
          <w:color w:val="005B60"/>
          <w:sz w:val="36"/>
          <w:szCs w:val="36"/>
        </w:rPr>
      </w:pPr>
      <w:r w:rsidRPr="00296645">
        <w:rPr>
          <w:rFonts w:ascii="Century Gothic" w:hAnsi="Century Gothic"/>
          <w:bCs/>
          <w:noProof/>
          <w:color w:val="005B60"/>
          <w:sz w:val="36"/>
          <w:szCs w:val="36"/>
        </w:rPr>
        <w:t xml:space="preserve">PROCESSES </w:t>
      </w:r>
    </w:p>
    <w:p w14:paraId="4BCC3E05" w14:textId="3AD000CE" w:rsidR="00865C7E" w:rsidRPr="00865C7E" w:rsidRDefault="00DE372F" w:rsidP="00DE372F">
      <w:pPr>
        <w:spacing w:after="180" w:line="276" w:lineRule="auto"/>
        <w:ind w:right="162"/>
        <w:rPr>
          <w:rFonts w:ascii="Century Gothic" w:hAnsi="Century Gothic"/>
          <w:b/>
          <w:sz w:val="21"/>
          <w:szCs w:val="21"/>
        </w:rPr>
      </w:pPr>
      <w:r w:rsidRPr="00296645">
        <w:rPr>
          <w:rFonts w:ascii="Century Gothic" w:hAnsi="Century Gothic"/>
          <w:b/>
          <w:color w:val="005B60"/>
          <w:sz w:val="22"/>
          <w:szCs w:val="22"/>
        </w:rPr>
        <w:t>Diagram Your Workflow</w:t>
      </w:r>
      <w:r w:rsidR="00865C7E" w:rsidRPr="00296645">
        <w:rPr>
          <w:rFonts w:ascii="Century Gothic" w:hAnsi="Century Gothic"/>
          <w:b/>
          <w:color w:val="005B60"/>
          <w:sz w:val="22"/>
          <w:szCs w:val="22"/>
        </w:rPr>
        <w:t xml:space="preserve">: </w:t>
      </w:r>
      <w:r w:rsidRPr="00DE372F">
        <w:rPr>
          <w:rFonts w:ascii="Century Gothic" w:hAnsi="Century Gothic"/>
          <w:sz w:val="21"/>
          <w:szCs w:val="21"/>
        </w:rPr>
        <w:t xml:space="preserve">Ed Burgoyne is the founder and lead advisor of </w:t>
      </w:r>
      <w:hyperlink r:id="rId10" w:history="1">
        <w:r w:rsidRPr="00DE372F">
          <w:rPr>
            <w:rStyle w:val="Hyperlink"/>
            <w:rFonts w:ascii="Century Gothic" w:hAnsi="Century Gothic"/>
            <w:sz w:val="21"/>
            <w:szCs w:val="21"/>
          </w:rPr>
          <w:t>Makr Consulting</w:t>
        </w:r>
      </w:hyperlink>
      <w:r w:rsidRPr="00DE372F">
        <w:rPr>
          <w:rFonts w:ascii="Century Gothic" w:hAnsi="Century Gothic"/>
          <w:sz w:val="21"/>
          <w:szCs w:val="21"/>
        </w:rPr>
        <w:t>. “Sometimes the process of just getting together and looking at how things currently work is eye-opening for people,” he shares. Ask the team, “How do we do what we do? Why do we do it that way? Does that make sense? How do we describe what we do?” Diagramming processes visually also helps identify redundancies or bottlenecks, allowing for improvements in workflow.</w:t>
      </w:r>
    </w:p>
    <w:p w14:paraId="757435AE" w14:textId="58BBBF7E" w:rsidR="00865C7E" w:rsidRPr="00865C7E" w:rsidRDefault="00DE372F" w:rsidP="00DE372F">
      <w:pPr>
        <w:spacing w:after="180" w:line="276" w:lineRule="auto"/>
        <w:ind w:right="162"/>
        <w:rPr>
          <w:rFonts w:ascii="Century Gothic" w:hAnsi="Century Gothic"/>
          <w:b/>
          <w:sz w:val="21"/>
          <w:szCs w:val="21"/>
        </w:rPr>
      </w:pPr>
      <w:r w:rsidRPr="00296645">
        <w:rPr>
          <w:rFonts w:ascii="Century Gothic" w:hAnsi="Century Gothic"/>
          <w:b/>
          <w:color w:val="005B60"/>
          <w:sz w:val="22"/>
          <w:szCs w:val="22"/>
        </w:rPr>
        <w:t>Remain Flexible</w:t>
      </w:r>
      <w:r w:rsidR="00865C7E" w:rsidRPr="00296645">
        <w:rPr>
          <w:rFonts w:ascii="Century Gothic" w:hAnsi="Century Gothic"/>
          <w:b/>
          <w:color w:val="005B60"/>
          <w:sz w:val="22"/>
          <w:szCs w:val="22"/>
        </w:rPr>
        <w:t xml:space="preserve">: </w:t>
      </w:r>
      <w:r w:rsidRPr="00DE372F">
        <w:rPr>
          <w:rFonts w:ascii="Century Gothic" w:hAnsi="Century Gothic"/>
          <w:sz w:val="21"/>
          <w:szCs w:val="21"/>
        </w:rPr>
        <w:t>Ferruggia stresses the importance of remaining flexible in your workflows. “Implementing Agile methodologies helps us to iterate, adapt, and continuously improve our processes,” he says. Remaining flexible allows you to accommodate unexpected events (such as delays, a change of design direction, or a rush request), which ultimately helps you better meet your client’s needs.</w:t>
      </w:r>
    </w:p>
    <w:p w14:paraId="7EC67EED" w14:textId="35AE2AC0" w:rsidR="00540D45" w:rsidRPr="00811160" w:rsidRDefault="00DE372F" w:rsidP="00DE372F">
      <w:pPr>
        <w:spacing w:after="180" w:line="276" w:lineRule="auto"/>
        <w:ind w:right="162"/>
        <w:rPr>
          <w:rFonts w:ascii="Century Gothic" w:hAnsi="Century Gothic"/>
          <w:b/>
          <w:sz w:val="21"/>
          <w:szCs w:val="21"/>
        </w:rPr>
      </w:pPr>
      <w:r w:rsidRPr="00296645">
        <w:rPr>
          <w:rFonts w:ascii="Century Gothic" w:hAnsi="Century Gothic"/>
          <w:b/>
          <w:noProof/>
          <w:color w:val="005B60"/>
          <w:sz w:val="22"/>
          <w:szCs w:val="22"/>
        </w:rPr>
        <w:t>Use Creative Workflow or Project Management Software</w:t>
      </w:r>
      <w:r w:rsidR="00865C7E" w:rsidRPr="00296645">
        <w:rPr>
          <w:rFonts w:ascii="Century Gothic" w:hAnsi="Century Gothic"/>
          <w:b/>
          <w:color w:val="005B60"/>
          <w:sz w:val="22"/>
          <w:szCs w:val="22"/>
        </w:rPr>
        <w:t xml:space="preserve">: </w:t>
      </w:r>
      <w:r w:rsidRPr="00DE372F">
        <w:rPr>
          <w:rFonts w:ascii="Century Gothic" w:hAnsi="Century Gothic"/>
          <w:sz w:val="21"/>
          <w:szCs w:val="21"/>
        </w:rPr>
        <w:t>Workflow software can save you time by reducing manual or repetitive tasks and communications (such as email status reports). With creative workflow or project management software, you can integrate all written communications and calendar items, set automatic notifications and reminders, store, track, and manage all creative assets in production, and leave feedback directly on project files. Keeping everything in one place provides a single record that all stakeholders can refer to.</w:t>
      </w:r>
    </w:p>
    <w:p w14:paraId="4ECE5900" w14:textId="77777777" w:rsidR="004E66E3" w:rsidRDefault="004E66E3" w:rsidP="004E66E3">
      <w:pPr>
        <w:rPr>
          <w:rFonts w:ascii="Century Gothic" w:hAnsi="Century Gothic"/>
          <w:szCs w:val="20"/>
        </w:rPr>
      </w:pPr>
    </w:p>
    <w:p w14:paraId="6A1C503B" w14:textId="77777777" w:rsidR="00296645" w:rsidRDefault="00296645" w:rsidP="004E66E3">
      <w:pPr>
        <w:rPr>
          <w:rFonts w:ascii="Century Gothic" w:hAnsi="Century Gothic"/>
          <w:szCs w:val="20"/>
        </w:rPr>
        <w:sectPr w:rsidR="00296645" w:rsidSect="000C64E3">
          <w:headerReference w:type="even" r:id="rId11"/>
          <w:headerReference w:type="default" r:id="rId12"/>
          <w:footerReference w:type="even" r:id="rId13"/>
          <w:footerReference w:type="default" r:id="rId14"/>
          <w:headerReference w:type="first" r:id="rId15"/>
          <w:footerReference w:type="first" r:id="rId16"/>
          <w:pgSz w:w="12240" w:h="15840"/>
          <w:pgMar w:top="576" w:right="648" w:bottom="576" w:left="720" w:header="0" w:footer="0" w:gutter="0"/>
          <w:cols w:space="720"/>
          <w:titlePg/>
          <w:docGrid w:linePitch="360"/>
        </w:sectPr>
      </w:pPr>
    </w:p>
    <w:p w14:paraId="5B3ECFA8" w14:textId="77777777" w:rsidR="004E66E3" w:rsidRPr="00AC5155" w:rsidRDefault="004E66E3" w:rsidP="004E66E3">
      <w:pPr>
        <w:rPr>
          <w:rFonts w:ascii="Century Gothic" w:hAnsi="Century Gothic"/>
          <w:szCs w:val="20"/>
        </w:rPr>
      </w:pPr>
    </w:p>
    <w:tbl>
      <w:tblPr>
        <w:tblStyle w:val="TableGrid"/>
        <w:tblW w:w="9360" w:type="dxa"/>
        <w:tblInd w:w="-3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4E66E3" w:rsidRPr="00AC5155" w14:paraId="12EAE5BE" w14:textId="77777777" w:rsidTr="004E66E3">
        <w:trPr>
          <w:trHeight w:val="3107"/>
        </w:trPr>
        <w:tc>
          <w:tcPr>
            <w:tcW w:w="9360" w:type="dxa"/>
          </w:tcPr>
          <w:p w14:paraId="13B15346" w14:textId="77777777" w:rsidR="004E66E3" w:rsidRPr="00AC5155" w:rsidRDefault="004E66E3" w:rsidP="008262DD">
            <w:pPr>
              <w:rPr>
                <w:rFonts w:ascii="Century Gothic" w:hAnsi="Century Gothic"/>
                <w:b/>
              </w:rPr>
            </w:pPr>
          </w:p>
          <w:p w14:paraId="14D465D8" w14:textId="77777777" w:rsidR="004E66E3" w:rsidRPr="00AC5155" w:rsidRDefault="004E66E3" w:rsidP="008262DD">
            <w:pPr>
              <w:jc w:val="center"/>
              <w:rPr>
                <w:rFonts w:ascii="Century Gothic" w:hAnsi="Century Gothic"/>
                <w:b/>
              </w:rPr>
            </w:pPr>
            <w:r w:rsidRPr="00AC5155">
              <w:rPr>
                <w:rFonts w:ascii="Century Gothic" w:hAnsi="Century Gothic"/>
                <w:b/>
              </w:rPr>
              <w:t>DISCLAIMER</w:t>
            </w:r>
          </w:p>
          <w:p w14:paraId="3353D8E6" w14:textId="77777777" w:rsidR="004E66E3" w:rsidRPr="00AC5155" w:rsidRDefault="004E66E3" w:rsidP="008262DD">
            <w:pPr>
              <w:rPr>
                <w:rFonts w:ascii="Century Gothic" w:hAnsi="Century Gothic"/>
              </w:rPr>
            </w:pPr>
          </w:p>
          <w:p w14:paraId="32B4C9B2" w14:textId="77777777" w:rsidR="004E66E3" w:rsidRPr="00AC5155" w:rsidRDefault="004E66E3" w:rsidP="008262DD">
            <w:pPr>
              <w:spacing w:line="276" w:lineRule="auto"/>
              <w:rPr>
                <w:rFonts w:ascii="Century Gothic" w:hAnsi="Century Gothic"/>
              </w:rPr>
            </w:pPr>
            <w:r w:rsidRPr="00AC515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5CAA78D8" w14:textId="77777777" w:rsidR="004E66E3" w:rsidRPr="00AC5155" w:rsidRDefault="004E66E3" w:rsidP="008262DD">
            <w:pPr>
              <w:spacing w:line="276" w:lineRule="auto"/>
              <w:rPr>
                <w:rFonts w:ascii="Century Gothic" w:hAnsi="Century Gothic"/>
              </w:rPr>
            </w:pPr>
          </w:p>
        </w:tc>
      </w:tr>
    </w:tbl>
    <w:p w14:paraId="5E89EBC1" w14:textId="77777777" w:rsidR="00BC733E" w:rsidRDefault="00BC733E"/>
    <w:sectPr w:rsidR="00BC733E" w:rsidSect="000C64E3">
      <w:pgSz w:w="12240" w:h="15840"/>
      <w:pgMar w:top="87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A268B" w14:textId="77777777" w:rsidR="000C64E3" w:rsidRDefault="000C64E3">
      <w:r>
        <w:separator/>
      </w:r>
    </w:p>
  </w:endnote>
  <w:endnote w:type="continuationSeparator" w:id="0">
    <w:p w14:paraId="275D31EA" w14:textId="77777777" w:rsidR="000C64E3" w:rsidRDefault="000C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8A9D" w14:textId="77777777" w:rsidR="00DB416B" w:rsidRDefault="00DB4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41E3" w14:textId="77777777" w:rsidR="00DB416B" w:rsidRDefault="00DB4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94A2" w14:textId="77777777" w:rsidR="00DB416B" w:rsidRDefault="00DB4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1B94" w14:textId="77777777" w:rsidR="000C64E3" w:rsidRDefault="000C64E3">
      <w:r>
        <w:separator/>
      </w:r>
    </w:p>
  </w:footnote>
  <w:footnote w:type="continuationSeparator" w:id="0">
    <w:p w14:paraId="60A005FC" w14:textId="77777777" w:rsidR="000C64E3" w:rsidRDefault="000C6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D4E6" w14:textId="7967C072" w:rsidR="00FF4EAF" w:rsidRDefault="00FF4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22F6" w14:textId="1C4EDBEA" w:rsidR="00FF4EAF" w:rsidRDefault="00FF4E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0FE8" w14:textId="0BCE0378" w:rsidR="00FF4EAF" w:rsidRDefault="00FF4E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3"/>
    <w:rsid w:val="000755FF"/>
    <w:rsid w:val="000C64E3"/>
    <w:rsid w:val="000D64BE"/>
    <w:rsid w:val="002069F3"/>
    <w:rsid w:val="00216632"/>
    <w:rsid w:val="00256955"/>
    <w:rsid w:val="00296645"/>
    <w:rsid w:val="00297C95"/>
    <w:rsid w:val="002C6F0C"/>
    <w:rsid w:val="002F3A78"/>
    <w:rsid w:val="00350708"/>
    <w:rsid w:val="003E0741"/>
    <w:rsid w:val="004E66E3"/>
    <w:rsid w:val="00540D45"/>
    <w:rsid w:val="00563C6D"/>
    <w:rsid w:val="005852FB"/>
    <w:rsid w:val="00590CCF"/>
    <w:rsid w:val="005F6E61"/>
    <w:rsid w:val="00682938"/>
    <w:rsid w:val="00865C7E"/>
    <w:rsid w:val="00951890"/>
    <w:rsid w:val="0095296C"/>
    <w:rsid w:val="00981155"/>
    <w:rsid w:val="00981580"/>
    <w:rsid w:val="00AA3E94"/>
    <w:rsid w:val="00AC635D"/>
    <w:rsid w:val="00AE17B9"/>
    <w:rsid w:val="00B124EE"/>
    <w:rsid w:val="00B77667"/>
    <w:rsid w:val="00BC733E"/>
    <w:rsid w:val="00BD37D8"/>
    <w:rsid w:val="00CB4B2E"/>
    <w:rsid w:val="00D161A4"/>
    <w:rsid w:val="00D17ACB"/>
    <w:rsid w:val="00DB2187"/>
    <w:rsid w:val="00DB416B"/>
    <w:rsid w:val="00DC105D"/>
    <w:rsid w:val="00DE372F"/>
    <w:rsid w:val="00E25ABC"/>
    <w:rsid w:val="00E41A85"/>
    <w:rsid w:val="00E963DA"/>
    <w:rsid w:val="00FF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792AE"/>
  <w14:defaultImageDpi w14:val="32767"/>
  <w15:chartTrackingRefBased/>
  <w15:docId w15:val="{C08A84DA-0B6C-2441-8919-4039E67E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66E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E66E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66E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66E3"/>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66E3"/>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E66E3"/>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E66E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E66E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66E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66E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hAnsi="Century Gothic"/>
      <w:b/>
      <w:bCs/>
      <w:color w:val="000000" w:themeColor="text1"/>
      <w:sz w:val="22"/>
      <w:szCs w:val="32"/>
      <w14:textFill>
        <w14:solidFill>
          <w14:schemeClr w14:val="tx1">
            <w14:lumMod w14:val="75000"/>
            <w14:lumOff w14:val="25000"/>
            <w14:lumMod w14:val="75000"/>
            <w14:lumMod w14:val="75000"/>
          </w14:schemeClr>
        </w14:solidFill>
      </w14:textFill>
    </w:rPr>
  </w:style>
  <w:style w:type="character" w:customStyle="1" w:styleId="Heading1Char">
    <w:name w:val="Heading 1 Char"/>
    <w:basedOn w:val="DefaultParagraphFont"/>
    <w:link w:val="Heading1"/>
    <w:uiPriority w:val="9"/>
    <w:rsid w:val="004E6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6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6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6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6E3"/>
    <w:rPr>
      <w:rFonts w:eastAsiaTheme="majorEastAsia" w:cstheme="majorBidi"/>
      <w:color w:val="272727" w:themeColor="text1" w:themeTint="D8"/>
    </w:rPr>
  </w:style>
  <w:style w:type="paragraph" w:styleId="Title">
    <w:name w:val="Title"/>
    <w:basedOn w:val="Normal"/>
    <w:next w:val="Normal"/>
    <w:link w:val="TitleChar"/>
    <w:uiPriority w:val="10"/>
    <w:qFormat/>
    <w:rsid w:val="004E66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6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6E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6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6E3"/>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E66E3"/>
    <w:rPr>
      <w:i/>
      <w:iCs/>
      <w:color w:val="404040" w:themeColor="text1" w:themeTint="BF"/>
    </w:rPr>
  </w:style>
  <w:style w:type="paragraph" w:styleId="ListParagraph">
    <w:name w:val="List Paragraph"/>
    <w:basedOn w:val="Normal"/>
    <w:uiPriority w:val="34"/>
    <w:qFormat/>
    <w:rsid w:val="004E66E3"/>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E66E3"/>
    <w:rPr>
      <w:i/>
      <w:iCs/>
      <w:color w:val="2F5496" w:themeColor="accent1" w:themeShade="BF"/>
    </w:rPr>
  </w:style>
  <w:style w:type="paragraph" w:styleId="IntenseQuote">
    <w:name w:val="Intense Quote"/>
    <w:basedOn w:val="Normal"/>
    <w:next w:val="Normal"/>
    <w:link w:val="IntenseQuoteChar"/>
    <w:uiPriority w:val="30"/>
    <w:qFormat/>
    <w:rsid w:val="004E66E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E66E3"/>
    <w:rPr>
      <w:i/>
      <w:iCs/>
      <w:color w:val="2F5496" w:themeColor="accent1" w:themeShade="BF"/>
    </w:rPr>
  </w:style>
  <w:style w:type="character" w:styleId="IntenseReference">
    <w:name w:val="Intense Reference"/>
    <w:basedOn w:val="DefaultParagraphFont"/>
    <w:uiPriority w:val="32"/>
    <w:qFormat/>
    <w:rsid w:val="004E66E3"/>
    <w:rPr>
      <w:b/>
      <w:bCs/>
      <w:smallCaps/>
      <w:color w:val="2F5496" w:themeColor="accent1" w:themeShade="BF"/>
      <w:spacing w:val="5"/>
    </w:rPr>
  </w:style>
  <w:style w:type="table" w:styleId="TableGrid">
    <w:name w:val="Table Grid"/>
    <w:basedOn w:val="TableNormal"/>
    <w:uiPriority w:val="39"/>
    <w:rsid w:val="004E66E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6E3"/>
    <w:pPr>
      <w:tabs>
        <w:tab w:val="center" w:pos="4680"/>
        <w:tab w:val="right" w:pos="9360"/>
      </w:tabs>
    </w:pPr>
  </w:style>
  <w:style w:type="character" w:customStyle="1" w:styleId="HeaderChar">
    <w:name w:val="Header Char"/>
    <w:basedOn w:val="DefaultParagraphFont"/>
    <w:link w:val="Header"/>
    <w:uiPriority w:val="99"/>
    <w:rsid w:val="004E66E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E66E3"/>
    <w:pPr>
      <w:tabs>
        <w:tab w:val="center" w:pos="4680"/>
        <w:tab w:val="right" w:pos="9360"/>
      </w:tabs>
    </w:pPr>
  </w:style>
  <w:style w:type="character" w:customStyle="1" w:styleId="FooterChar">
    <w:name w:val="Footer Char"/>
    <w:basedOn w:val="DefaultParagraphFont"/>
    <w:link w:val="Footer"/>
    <w:uiPriority w:val="99"/>
    <w:rsid w:val="004E66E3"/>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E372F"/>
    <w:rPr>
      <w:color w:val="0563C1" w:themeColor="hyperlink"/>
      <w:u w:val="single"/>
    </w:rPr>
  </w:style>
  <w:style w:type="character" w:styleId="UnresolvedMention">
    <w:name w:val="Unresolved Mention"/>
    <w:basedOn w:val="DefaultParagraphFont"/>
    <w:uiPriority w:val="99"/>
    <w:rsid w:val="00DE3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gianluca-ferruggia-a01a276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smartsheet.com/try-it?trp=10680&amp;utm_source=template-word&amp;utm_medium=content&amp;utm_campaign=Creative+Workflow+Cheat+Sheet-word-10680&amp;lpa=Creative+Workflow+Cheat+Sheet+word+10680"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makrconsulting.com/" TargetMode="External"/><Relationship Id="rId4" Type="http://schemas.openxmlformats.org/officeDocument/2006/relationships/footnotes" Target="footnotes.xml"/><Relationship Id="rId9" Type="http://schemas.openxmlformats.org/officeDocument/2006/relationships/hyperlink" Target="https://lucidagency.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9</cp:revision>
  <cp:lastPrinted>2024-04-30T00:10:00Z</cp:lastPrinted>
  <dcterms:created xsi:type="dcterms:W3CDTF">2024-04-29T23:07:00Z</dcterms:created>
  <dcterms:modified xsi:type="dcterms:W3CDTF">2024-05-07T22:12:00Z</dcterms:modified>
</cp:coreProperties>
</file>