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545C" w14:textId="5BAF952D" w:rsidR="004317A4" w:rsidRPr="00AD5974" w:rsidRDefault="004317A4"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61086DD1">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54994B61" w14:textId="655F2154" w:rsidR="00EF3F57" w:rsidRPr="00B152B8" w:rsidRDefault="00B152B8" w:rsidP="00EF3F57">
      <w:pPr>
        <w:spacing w:after="0" w:line="240" w:lineRule="auto"/>
        <w:rPr>
          <w:rFonts w:ascii="Century Gothic" w:eastAsia="Times New Roman" w:hAnsi="Century Gothic" w:cs="Times New Roman"/>
          <w:color w:val="001033"/>
          <w:sz w:val="8"/>
          <w:szCs w:val="8"/>
        </w:rPr>
      </w:pPr>
      <w:r w:rsidRPr="00B152B8">
        <w:rPr>
          <w:rFonts w:ascii="Century Gothic" w:eastAsia="Times New Roman" w:hAnsi="Century Gothic" w:cs="Times New Roman"/>
          <w:b/>
          <w:bCs/>
          <w:color w:val="001033"/>
          <w:sz w:val="42"/>
          <w:szCs w:val="42"/>
        </w:rPr>
        <w:t xml:space="preserve">Problem Escalation Matrix </w:t>
      </w:r>
      <w:r w:rsidRPr="00B152B8">
        <w:rPr>
          <w:rFonts w:ascii="Century Gothic" w:eastAsia="Times New Roman" w:hAnsi="Century Gothic" w:cs="Times New Roman"/>
          <w:b/>
          <w:bCs/>
          <w:color w:val="001033"/>
          <w:sz w:val="42"/>
          <w:szCs w:val="42"/>
        </w:rPr>
        <w:br/>
        <w:t>Template Example</w:t>
      </w: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tbl>
      <w:tblPr>
        <w:tblW w:w="10795" w:type="dxa"/>
        <w:tblLook w:val="04A0" w:firstRow="1" w:lastRow="0" w:firstColumn="1" w:lastColumn="0" w:noHBand="0" w:noVBand="1"/>
      </w:tblPr>
      <w:tblGrid>
        <w:gridCol w:w="1835"/>
        <w:gridCol w:w="2240"/>
        <w:gridCol w:w="2240"/>
        <w:gridCol w:w="2240"/>
        <w:gridCol w:w="2240"/>
      </w:tblGrid>
      <w:tr w:rsidR="00284804" w:rsidRPr="00284804" w14:paraId="63FA22FA" w14:textId="77777777" w:rsidTr="00C826A4">
        <w:trPr>
          <w:trHeight w:val="880"/>
          <w:tblHeader/>
        </w:trPr>
        <w:tc>
          <w:tcPr>
            <w:tcW w:w="1835" w:type="dxa"/>
            <w:tcBorders>
              <w:top w:val="single" w:sz="4" w:space="0" w:color="808080"/>
              <w:left w:val="single" w:sz="4" w:space="0" w:color="808080"/>
              <w:bottom w:val="single" w:sz="4" w:space="0" w:color="808080"/>
              <w:right w:val="single" w:sz="4" w:space="0" w:color="808080"/>
            </w:tcBorders>
            <w:shd w:val="clear" w:color="000000" w:fill="D9D9D9"/>
            <w:vAlign w:val="center"/>
            <w:hideMark/>
          </w:tcPr>
          <w:p w14:paraId="797BD11E" w14:textId="77777777" w:rsidR="00284804" w:rsidRPr="00284804" w:rsidRDefault="00284804" w:rsidP="00284804">
            <w:pPr>
              <w:spacing w:after="0" w:line="240" w:lineRule="auto"/>
              <w:rPr>
                <w:rFonts w:ascii="Century Gothic" w:eastAsia="Times New Roman" w:hAnsi="Century Gothic" w:cs="Calibri"/>
                <w:b/>
                <w:bCs/>
                <w:color w:val="000000"/>
              </w:rPr>
            </w:pPr>
            <w:r w:rsidRPr="00284804">
              <w:rPr>
                <w:rFonts w:ascii="Century Gothic" w:eastAsia="Times New Roman" w:hAnsi="Century Gothic" w:cs="Calibri"/>
                <w:b/>
                <w:bCs/>
                <w:color w:val="000000"/>
              </w:rPr>
              <w:t>Types of 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1E1252DA"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1 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40013EDA"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2 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457F1F60" w14:textId="77777777" w:rsidR="00FE2BBD"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3</w:t>
            </w:r>
          </w:p>
          <w:p w14:paraId="0AD4F9E1" w14:textId="4C431B6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Escalation</w:t>
            </w:r>
          </w:p>
        </w:tc>
        <w:tc>
          <w:tcPr>
            <w:tcW w:w="2240" w:type="dxa"/>
            <w:tcBorders>
              <w:top w:val="single" w:sz="4" w:space="0" w:color="808080"/>
              <w:left w:val="nil"/>
              <w:bottom w:val="single" w:sz="4" w:space="0" w:color="808080"/>
              <w:right w:val="single" w:sz="4" w:space="0" w:color="808080"/>
            </w:tcBorders>
            <w:shd w:val="clear" w:color="000000" w:fill="D7ADEF"/>
            <w:vAlign w:val="center"/>
            <w:hideMark/>
          </w:tcPr>
          <w:p w14:paraId="2782E78F" w14:textId="56DBFCBA" w:rsidR="00284804" w:rsidRPr="00284804" w:rsidRDefault="00284804" w:rsidP="00C826A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Level 4</w:t>
            </w:r>
            <w:r w:rsidR="00C826A4">
              <w:rPr>
                <w:rFonts w:ascii="Century Gothic" w:eastAsia="Times New Roman" w:hAnsi="Century Gothic" w:cs="Calibri"/>
                <w:b/>
                <w:bCs/>
                <w:color w:val="000000"/>
                <w:sz w:val="24"/>
                <w:szCs w:val="24"/>
              </w:rPr>
              <w:t xml:space="preserve"> </w:t>
            </w:r>
            <w:r w:rsidRPr="00284804">
              <w:rPr>
                <w:rFonts w:ascii="Century Gothic" w:eastAsia="Times New Roman" w:hAnsi="Century Gothic" w:cs="Calibri"/>
                <w:b/>
                <w:bCs/>
                <w:color w:val="000000"/>
                <w:sz w:val="24"/>
                <w:szCs w:val="24"/>
              </w:rPr>
              <w:t>Escalation</w:t>
            </w:r>
          </w:p>
        </w:tc>
      </w:tr>
      <w:tr w:rsidR="00284804" w:rsidRPr="00284804" w14:paraId="0FA42747" w14:textId="77777777" w:rsidTr="00C826A4">
        <w:trPr>
          <w:trHeight w:val="880"/>
          <w:tblHeader/>
        </w:trPr>
        <w:tc>
          <w:tcPr>
            <w:tcW w:w="1835" w:type="dxa"/>
            <w:tcBorders>
              <w:top w:val="nil"/>
              <w:left w:val="single" w:sz="4" w:space="0" w:color="808080"/>
              <w:bottom w:val="single" w:sz="4" w:space="0" w:color="808080"/>
              <w:right w:val="single" w:sz="4" w:space="0" w:color="808080"/>
            </w:tcBorders>
            <w:shd w:val="clear" w:color="000000" w:fill="D9D9D9"/>
            <w:vAlign w:val="center"/>
            <w:hideMark/>
          </w:tcPr>
          <w:p w14:paraId="0E1CBC59" w14:textId="77777777" w:rsidR="00284804" w:rsidRPr="00284804" w:rsidRDefault="00284804" w:rsidP="00284804">
            <w:pPr>
              <w:spacing w:after="0" w:line="240" w:lineRule="auto"/>
              <w:rPr>
                <w:rFonts w:ascii="Century Gothic" w:eastAsia="Times New Roman" w:hAnsi="Century Gothic" w:cs="Calibri"/>
                <w:b/>
                <w:bCs/>
                <w:color w:val="000000"/>
              </w:rPr>
            </w:pPr>
            <w:r w:rsidRPr="00284804">
              <w:rPr>
                <w:rFonts w:ascii="Century Gothic" w:eastAsia="Times New Roman" w:hAnsi="Century Gothic" w:cs="Calibri"/>
                <w:b/>
                <w:bCs/>
                <w:color w:val="000000"/>
              </w:rPr>
              <w:t>Operational Role</w:t>
            </w:r>
          </w:p>
        </w:tc>
        <w:tc>
          <w:tcPr>
            <w:tcW w:w="2240" w:type="dxa"/>
            <w:tcBorders>
              <w:top w:val="nil"/>
              <w:left w:val="nil"/>
              <w:bottom w:val="single" w:sz="4" w:space="0" w:color="808080"/>
              <w:right w:val="single" w:sz="4" w:space="0" w:color="808080"/>
            </w:tcBorders>
            <w:shd w:val="clear" w:color="000000" w:fill="ACB9CA"/>
            <w:vAlign w:val="center"/>
            <w:hideMark/>
          </w:tcPr>
          <w:p w14:paraId="7F72488B"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Project Team Contact</w:t>
            </w:r>
          </w:p>
        </w:tc>
        <w:tc>
          <w:tcPr>
            <w:tcW w:w="2240" w:type="dxa"/>
            <w:tcBorders>
              <w:top w:val="nil"/>
              <w:left w:val="nil"/>
              <w:bottom w:val="single" w:sz="4" w:space="0" w:color="808080"/>
              <w:right w:val="single" w:sz="4" w:space="0" w:color="808080"/>
            </w:tcBorders>
            <w:shd w:val="clear" w:color="000000" w:fill="ACB9CA"/>
            <w:vAlign w:val="center"/>
            <w:hideMark/>
          </w:tcPr>
          <w:p w14:paraId="5E55EEC3"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Project Manager</w:t>
            </w:r>
          </w:p>
        </w:tc>
        <w:tc>
          <w:tcPr>
            <w:tcW w:w="2240" w:type="dxa"/>
            <w:tcBorders>
              <w:top w:val="nil"/>
              <w:left w:val="nil"/>
              <w:bottom w:val="single" w:sz="4" w:space="0" w:color="808080"/>
              <w:right w:val="single" w:sz="4" w:space="0" w:color="808080"/>
            </w:tcBorders>
            <w:shd w:val="clear" w:color="000000" w:fill="ACB9CA"/>
            <w:vAlign w:val="center"/>
            <w:hideMark/>
          </w:tcPr>
          <w:p w14:paraId="21B588D5"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Account Manager</w:t>
            </w:r>
          </w:p>
        </w:tc>
        <w:tc>
          <w:tcPr>
            <w:tcW w:w="2240" w:type="dxa"/>
            <w:tcBorders>
              <w:top w:val="nil"/>
              <w:left w:val="nil"/>
              <w:bottom w:val="single" w:sz="4" w:space="0" w:color="808080"/>
              <w:right w:val="single" w:sz="4" w:space="0" w:color="808080"/>
            </w:tcBorders>
            <w:shd w:val="clear" w:color="000000" w:fill="ACB9CA"/>
            <w:vAlign w:val="center"/>
            <w:hideMark/>
          </w:tcPr>
          <w:p w14:paraId="4C4F0CA0" w14:textId="77777777" w:rsidR="00284804" w:rsidRPr="00284804" w:rsidRDefault="00284804" w:rsidP="00284804">
            <w:pPr>
              <w:spacing w:after="0" w:line="240" w:lineRule="auto"/>
              <w:jc w:val="center"/>
              <w:rPr>
                <w:rFonts w:ascii="Century Gothic" w:eastAsia="Times New Roman" w:hAnsi="Century Gothic" w:cs="Calibri"/>
                <w:b/>
                <w:bCs/>
                <w:color w:val="000000"/>
                <w:sz w:val="24"/>
                <w:szCs w:val="24"/>
              </w:rPr>
            </w:pPr>
            <w:r w:rsidRPr="00284804">
              <w:rPr>
                <w:rFonts w:ascii="Century Gothic" w:eastAsia="Times New Roman" w:hAnsi="Century Gothic" w:cs="Calibri"/>
                <w:b/>
                <w:bCs/>
                <w:color w:val="000000"/>
                <w:sz w:val="24"/>
                <w:szCs w:val="24"/>
              </w:rPr>
              <w:t>Sales Manager</w:t>
            </w:r>
          </w:p>
        </w:tc>
      </w:tr>
      <w:tr w:rsidR="00284804" w:rsidRPr="00284804" w14:paraId="13C05574"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27837768"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Operational Challenges</w:t>
            </w:r>
          </w:p>
        </w:tc>
        <w:tc>
          <w:tcPr>
            <w:tcW w:w="2240" w:type="dxa"/>
            <w:tcBorders>
              <w:top w:val="nil"/>
              <w:left w:val="nil"/>
              <w:bottom w:val="single" w:sz="4" w:space="0" w:color="808080"/>
              <w:right w:val="single" w:sz="4" w:space="0" w:color="808080"/>
            </w:tcBorders>
            <w:shd w:val="clear" w:color="auto" w:fill="auto"/>
            <w:vAlign w:val="center"/>
            <w:hideMark/>
          </w:tcPr>
          <w:p w14:paraId="7988957D"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Assess and address immediate operational disruptions.</w:t>
            </w:r>
          </w:p>
        </w:tc>
        <w:tc>
          <w:tcPr>
            <w:tcW w:w="2240" w:type="dxa"/>
            <w:tcBorders>
              <w:top w:val="nil"/>
              <w:left w:val="nil"/>
              <w:bottom w:val="single" w:sz="4" w:space="0" w:color="808080"/>
              <w:right w:val="single" w:sz="4" w:space="0" w:color="808080"/>
            </w:tcBorders>
            <w:shd w:val="clear" w:color="auto" w:fill="auto"/>
            <w:vAlign w:val="center"/>
            <w:hideMark/>
          </w:tcPr>
          <w:p w14:paraId="07DBCBE8"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Develop strategic solutions for operational issues impacting logistics.</w:t>
            </w:r>
          </w:p>
        </w:tc>
        <w:tc>
          <w:tcPr>
            <w:tcW w:w="2240" w:type="dxa"/>
            <w:tcBorders>
              <w:top w:val="nil"/>
              <w:left w:val="nil"/>
              <w:bottom w:val="single" w:sz="4" w:space="0" w:color="808080"/>
              <w:right w:val="single" w:sz="4" w:space="0" w:color="808080"/>
            </w:tcBorders>
            <w:shd w:val="clear" w:color="auto" w:fill="auto"/>
            <w:vAlign w:val="center"/>
            <w:hideMark/>
          </w:tcPr>
          <w:p w14:paraId="162A418D"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Engage in client retention strategies during critical operational crises.</w:t>
            </w:r>
          </w:p>
        </w:tc>
        <w:tc>
          <w:tcPr>
            <w:tcW w:w="2240" w:type="dxa"/>
            <w:tcBorders>
              <w:top w:val="nil"/>
              <w:left w:val="nil"/>
              <w:bottom w:val="single" w:sz="4" w:space="0" w:color="808080"/>
              <w:right w:val="single" w:sz="4" w:space="0" w:color="808080"/>
            </w:tcBorders>
            <w:shd w:val="clear" w:color="auto" w:fill="auto"/>
            <w:vAlign w:val="center"/>
            <w:hideMark/>
          </w:tcPr>
          <w:p w14:paraId="6E216F86"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Implement sales strategies to mitigate operational impacts on client relations.</w:t>
            </w:r>
          </w:p>
        </w:tc>
      </w:tr>
      <w:tr w:rsidR="00284804" w:rsidRPr="00284804" w14:paraId="00E46A4E"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549AFAA9"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Timeline Adjustments</w:t>
            </w:r>
          </w:p>
        </w:tc>
        <w:tc>
          <w:tcPr>
            <w:tcW w:w="2240" w:type="dxa"/>
            <w:tcBorders>
              <w:top w:val="nil"/>
              <w:left w:val="nil"/>
              <w:bottom w:val="single" w:sz="4" w:space="0" w:color="808080"/>
              <w:right w:val="single" w:sz="4" w:space="0" w:color="808080"/>
            </w:tcBorders>
            <w:shd w:val="clear" w:color="auto" w:fill="auto"/>
            <w:vAlign w:val="center"/>
            <w:hideMark/>
          </w:tcPr>
          <w:p w14:paraId="588F1616"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Coordinate to revise or confirm project timelines.</w:t>
            </w:r>
          </w:p>
        </w:tc>
        <w:tc>
          <w:tcPr>
            <w:tcW w:w="2240" w:type="dxa"/>
            <w:tcBorders>
              <w:top w:val="nil"/>
              <w:left w:val="nil"/>
              <w:bottom w:val="single" w:sz="4" w:space="0" w:color="808080"/>
              <w:right w:val="single" w:sz="4" w:space="0" w:color="808080"/>
            </w:tcBorders>
            <w:shd w:val="clear" w:color="auto" w:fill="auto"/>
            <w:vAlign w:val="center"/>
            <w:hideMark/>
          </w:tcPr>
          <w:p w14:paraId="044F2B07"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Approve and communicate critical changes to project timelines.</w:t>
            </w:r>
          </w:p>
        </w:tc>
        <w:tc>
          <w:tcPr>
            <w:tcW w:w="2240" w:type="dxa"/>
            <w:tcBorders>
              <w:top w:val="nil"/>
              <w:left w:val="nil"/>
              <w:bottom w:val="single" w:sz="4" w:space="0" w:color="808080"/>
              <w:right w:val="single" w:sz="4" w:space="0" w:color="808080"/>
            </w:tcBorders>
            <w:shd w:val="clear" w:color="auto" w:fill="auto"/>
            <w:vAlign w:val="center"/>
            <w:hideMark/>
          </w:tcPr>
          <w:p w14:paraId="6C3267A2"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Negotiate service delivery timelines with key clients and partners.</w:t>
            </w:r>
          </w:p>
        </w:tc>
        <w:tc>
          <w:tcPr>
            <w:tcW w:w="2240" w:type="dxa"/>
            <w:tcBorders>
              <w:top w:val="nil"/>
              <w:left w:val="nil"/>
              <w:bottom w:val="single" w:sz="4" w:space="0" w:color="808080"/>
              <w:right w:val="single" w:sz="4" w:space="0" w:color="808080"/>
            </w:tcBorders>
            <w:shd w:val="clear" w:color="auto" w:fill="auto"/>
            <w:vAlign w:val="center"/>
            <w:hideMark/>
          </w:tcPr>
          <w:p w14:paraId="64BEA59D"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Assess and manage impacts of schedule changes on client commitments.</w:t>
            </w:r>
          </w:p>
        </w:tc>
      </w:tr>
      <w:tr w:rsidR="00284804" w:rsidRPr="00284804" w14:paraId="71541263"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55CEE5E3"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Guidance Acquisition</w:t>
            </w:r>
          </w:p>
        </w:tc>
        <w:tc>
          <w:tcPr>
            <w:tcW w:w="2240" w:type="dxa"/>
            <w:tcBorders>
              <w:top w:val="nil"/>
              <w:left w:val="nil"/>
              <w:bottom w:val="single" w:sz="4" w:space="0" w:color="808080"/>
              <w:right w:val="single" w:sz="4" w:space="0" w:color="808080"/>
            </w:tcBorders>
            <w:shd w:val="clear" w:color="auto" w:fill="auto"/>
            <w:vAlign w:val="center"/>
            <w:hideMark/>
          </w:tcPr>
          <w:p w14:paraId="7D560E1A"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Obtain necessary instructions for project continuation.</w:t>
            </w:r>
          </w:p>
        </w:tc>
        <w:tc>
          <w:tcPr>
            <w:tcW w:w="2240" w:type="dxa"/>
            <w:tcBorders>
              <w:top w:val="nil"/>
              <w:left w:val="nil"/>
              <w:bottom w:val="single" w:sz="4" w:space="0" w:color="808080"/>
              <w:right w:val="single" w:sz="4" w:space="0" w:color="808080"/>
            </w:tcBorders>
            <w:shd w:val="clear" w:color="auto" w:fill="auto"/>
            <w:vAlign w:val="center"/>
            <w:hideMark/>
          </w:tcPr>
          <w:p w14:paraId="6968028A"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Provide actionable directives to guide operational excellence.</w:t>
            </w:r>
          </w:p>
        </w:tc>
        <w:tc>
          <w:tcPr>
            <w:tcW w:w="2240" w:type="dxa"/>
            <w:tcBorders>
              <w:top w:val="nil"/>
              <w:left w:val="nil"/>
              <w:bottom w:val="single" w:sz="4" w:space="0" w:color="808080"/>
              <w:right w:val="single" w:sz="4" w:space="0" w:color="808080"/>
            </w:tcBorders>
            <w:shd w:val="clear" w:color="auto" w:fill="auto"/>
            <w:vAlign w:val="center"/>
            <w:hideMark/>
          </w:tcPr>
          <w:p w14:paraId="56365527"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Liaise with upper management for high-level operational guidance.</w:t>
            </w:r>
          </w:p>
        </w:tc>
        <w:tc>
          <w:tcPr>
            <w:tcW w:w="2240" w:type="dxa"/>
            <w:tcBorders>
              <w:top w:val="nil"/>
              <w:left w:val="nil"/>
              <w:bottom w:val="single" w:sz="4" w:space="0" w:color="808080"/>
              <w:right w:val="single" w:sz="4" w:space="0" w:color="808080"/>
            </w:tcBorders>
            <w:shd w:val="clear" w:color="auto" w:fill="auto"/>
            <w:vAlign w:val="center"/>
            <w:hideMark/>
          </w:tcPr>
          <w:p w14:paraId="7D6D9E05"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Liaise with executive leadership to align operational decisions with business goals.</w:t>
            </w:r>
          </w:p>
        </w:tc>
      </w:tr>
      <w:tr w:rsidR="00284804" w:rsidRPr="00284804" w14:paraId="3055206A"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1524172"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Client Data Issues</w:t>
            </w:r>
          </w:p>
        </w:tc>
        <w:tc>
          <w:tcPr>
            <w:tcW w:w="2240" w:type="dxa"/>
            <w:tcBorders>
              <w:top w:val="nil"/>
              <w:left w:val="nil"/>
              <w:bottom w:val="single" w:sz="4" w:space="0" w:color="808080"/>
              <w:right w:val="single" w:sz="4" w:space="0" w:color="808080"/>
            </w:tcBorders>
            <w:shd w:val="clear" w:color="auto" w:fill="auto"/>
            <w:vAlign w:val="center"/>
            <w:hideMark/>
          </w:tcPr>
          <w:p w14:paraId="0BA59865"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Gather and verify client information required for operations.</w:t>
            </w:r>
          </w:p>
        </w:tc>
        <w:tc>
          <w:tcPr>
            <w:tcW w:w="2240" w:type="dxa"/>
            <w:tcBorders>
              <w:top w:val="nil"/>
              <w:left w:val="nil"/>
              <w:bottom w:val="single" w:sz="4" w:space="0" w:color="808080"/>
              <w:right w:val="single" w:sz="4" w:space="0" w:color="808080"/>
            </w:tcBorders>
            <w:shd w:val="clear" w:color="auto" w:fill="auto"/>
            <w:vAlign w:val="center"/>
            <w:hideMark/>
          </w:tcPr>
          <w:p w14:paraId="6AD41655"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Manage the integration and updating of essential client data.</w:t>
            </w:r>
          </w:p>
        </w:tc>
        <w:tc>
          <w:tcPr>
            <w:tcW w:w="2240" w:type="dxa"/>
            <w:tcBorders>
              <w:top w:val="nil"/>
              <w:left w:val="nil"/>
              <w:bottom w:val="single" w:sz="4" w:space="0" w:color="808080"/>
              <w:right w:val="single" w:sz="4" w:space="0" w:color="808080"/>
            </w:tcBorders>
            <w:shd w:val="clear" w:color="auto" w:fill="auto"/>
            <w:vAlign w:val="center"/>
            <w:hideMark/>
          </w:tcPr>
          <w:p w14:paraId="6569AB32"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Ensure client satisfaction through accurate and timely data management.</w:t>
            </w:r>
          </w:p>
        </w:tc>
        <w:tc>
          <w:tcPr>
            <w:tcW w:w="2240" w:type="dxa"/>
            <w:tcBorders>
              <w:top w:val="nil"/>
              <w:left w:val="nil"/>
              <w:bottom w:val="single" w:sz="4" w:space="0" w:color="808080"/>
              <w:right w:val="single" w:sz="4" w:space="0" w:color="808080"/>
            </w:tcBorders>
            <w:shd w:val="clear" w:color="auto" w:fill="auto"/>
            <w:vAlign w:val="center"/>
            <w:hideMark/>
          </w:tcPr>
          <w:p w14:paraId="21D981CC"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Direct the strategic use of client data to enhance service offerings.</w:t>
            </w:r>
          </w:p>
        </w:tc>
      </w:tr>
      <w:tr w:rsidR="00284804" w:rsidRPr="00284804" w14:paraId="1ED74429"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CC949EA"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Service Details Concerns</w:t>
            </w:r>
          </w:p>
        </w:tc>
        <w:tc>
          <w:tcPr>
            <w:tcW w:w="2240" w:type="dxa"/>
            <w:tcBorders>
              <w:top w:val="nil"/>
              <w:left w:val="nil"/>
              <w:bottom w:val="single" w:sz="4" w:space="0" w:color="808080"/>
              <w:right w:val="single" w:sz="4" w:space="0" w:color="808080"/>
            </w:tcBorders>
            <w:shd w:val="clear" w:color="auto" w:fill="auto"/>
            <w:vAlign w:val="center"/>
            <w:hideMark/>
          </w:tcPr>
          <w:p w14:paraId="612573D1"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Clarify any confusion regarding service specifics.</w:t>
            </w:r>
          </w:p>
        </w:tc>
        <w:tc>
          <w:tcPr>
            <w:tcW w:w="2240" w:type="dxa"/>
            <w:tcBorders>
              <w:top w:val="nil"/>
              <w:left w:val="nil"/>
              <w:bottom w:val="single" w:sz="4" w:space="0" w:color="808080"/>
              <w:right w:val="single" w:sz="4" w:space="0" w:color="808080"/>
            </w:tcBorders>
            <w:shd w:val="clear" w:color="auto" w:fill="auto"/>
            <w:vAlign w:val="center"/>
            <w:hideMark/>
          </w:tcPr>
          <w:p w14:paraId="74D902A6"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Resolve escalated misunderstandings related to changing services.</w:t>
            </w:r>
          </w:p>
        </w:tc>
        <w:tc>
          <w:tcPr>
            <w:tcW w:w="2240" w:type="dxa"/>
            <w:tcBorders>
              <w:top w:val="nil"/>
              <w:left w:val="nil"/>
              <w:bottom w:val="single" w:sz="4" w:space="0" w:color="808080"/>
              <w:right w:val="single" w:sz="4" w:space="0" w:color="808080"/>
            </w:tcBorders>
            <w:shd w:val="clear" w:color="auto" w:fill="auto"/>
            <w:vAlign w:val="center"/>
            <w:hideMark/>
          </w:tcPr>
          <w:p w14:paraId="44477F75"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Mediate complex disputes regarding service agreements.</w:t>
            </w:r>
          </w:p>
        </w:tc>
        <w:tc>
          <w:tcPr>
            <w:tcW w:w="2240" w:type="dxa"/>
            <w:tcBorders>
              <w:top w:val="nil"/>
              <w:left w:val="nil"/>
              <w:bottom w:val="single" w:sz="4" w:space="0" w:color="808080"/>
              <w:right w:val="single" w:sz="4" w:space="0" w:color="808080"/>
            </w:tcBorders>
            <w:shd w:val="clear" w:color="auto" w:fill="auto"/>
            <w:vAlign w:val="center"/>
            <w:hideMark/>
          </w:tcPr>
          <w:p w14:paraId="05F18DBD"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Make decisive actions on service modifications and enhancements.</w:t>
            </w:r>
          </w:p>
        </w:tc>
      </w:tr>
      <w:tr w:rsidR="00284804" w:rsidRPr="00284804" w14:paraId="79C1ED02"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435E8AB9"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lastRenderedPageBreak/>
              <w:t>Material Procurement</w:t>
            </w:r>
          </w:p>
        </w:tc>
        <w:tc>
          <w:tcPr>
            <w:tcW w:w="2240" w:type="dxa"/>
            <w:tcBorders>
              <w:top w:val="nil"/>
              <w:left w:val="nil"/>
              <w:bottom w:val="single" w:sz="4" w:space="0" w:color="808080"/>
              <w:right w:val="single" w:sz="4" w:space="0" w:color="808080"/>
            </w:tcBorders>
            <w:shd w:val="clear" w:color="auto" w:fill="auto"/>
            <w:vAlign w:val="center"/>
            <w:hideMark/>
          </w:tcPr>
          <w:p w14:paraId="1CFCAD08"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Facilitate the acquisition of essential project materials.</w:t>
            </w:r>
          </w:p>
        </w:tc>
        <w:tc>
          <w:tcPr>
            <w:tcW w:w="2240" w:type="dxa"/>
            <w:tcBorders>
              <w:top w:val="nil"/>
              <w:left w:val="nil"/>
              <w:bottom w:val="single" w:sz="4" w:space="0" w:color="808080"/>
              <w:right w:val="single" w:sz="4" w:space="0" w:color="808080"/>
            </w:tcBorders>
            <w:shd w:val="clear" w:color="auto" w:fill="auto"/>
            <w:vAlign w:val="center"/>
            <w:hideMark/>
          </w:tcPr>
          <w:p w14:paraId="2486CCDF"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Authorize and expedite the sourcing of essential logistical materials.</w:t>
            </w:r>
          </w:p>
        </w:tc>
        <w:tc>
          <w:tcPr>
            <w:tcW w:w="2240" w:type="dxa"/>
            <w:tcBorders>
              <w:top w:val="nil"/>
              <w:left w:val="nil"/>
              <w:bottom w:val="single" w:sz="4" w:space="0" w:color="808080"/>
              <w:right w:val="single" w:sz="4" w:space="0" w:color="808080"/>
            </w:tcBorders>
            <w:shd w:val="clear" w:color="auto" w:fill="auto"/>
            <w:vAlign w:val="center"/>
            <w:hideMark/>
          </w:tcPr>
          <w:p w14:paraId="626E4CFE"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Ensure timely delivery and logistical coordination of materials.</w:t>
            </w:r>
          </w:p>
        </w:tc>
        <w:tc>
          <w:tcPr>
            <w:tcW w:w="2240" w:type="dxa"/>
            <w:tcBorders>
              <w:top w:val="nil"/>
              <w:left w:val="nil"/>
              <w:bottom w:val="single" w:sz="4" w:space="0" w:color="808080"/>
              <w:right w:val="single" w:sz="4" w:space="0" w:color="808080"/>
            </w:tcBorders>
            <w:shd w:val="clear" w:color="auto" w:fill="auto"/>
            <w:vAlign w:val="center"/>
            <w:hideMark/>
          </w:tcPr>
          <w:p w14:paraId="3C8C9F24"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Approve strategies for material procurement that support sales goals.</w:t>
            </w:r>
          </w:p>
        </w:tc>
      </w:tr>
      <w:tr w:rsidR="00284804" w:rsidRPr="00284804" w14:paraId="592660AF"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1FAE6A21"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Performance Setbacks</w:t>
            </w:r>
          </w:p>
        </w:tc>
        <w:tc>
          <w:tcPr>
            <w:tcW w:w="2240" w:type="dxa"/>
            <w:tcBorders>
              <w:top w:val="nil"/>
              <w:left w:val="nil"/>
              <w:bottom w:val="single" w:sz="4" w:space="0" w:color="808080"/>
              <w:right w:val="single" w:sz="4" w:space="0" w:color="808080"/>
            </w:tcBorders>
            <w:shd w:val="clear" w:color="auto" w:fill="auto"/>
            <w:vAlign w:val="center"/>
            <w:hideMark/>
          </w:tcPr>
          <w:p w14:paraId="012A25F8"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Identify and resolve performance-related issues.</w:t>
            </w:r>
          </w:p>
        </w:tc>
        <w:tc>
          <w:tcPr>
            <w:tcW w:w="2240" w:type="dxa"/>
            <w:tcBorders>
              <w:top w:val="nil"/>
              <w:left w:val="nil"/>
              <w:bottom w:val="single" w:sz="4" w:space="0" w:color="808080"/>
              <w:right w:val="single" w:sz="4" w:space="0" w:color="808080"/>
            </w:tcBorders>
            <w:shd w:val="clear" w:color="auto" w:fill="auto"/>
            <w:vAlign w:val="center"/>
            <w:hideMark/>
          </w:tcPr>
          <w:p w14:paraId="48FF547D"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Formulate strategies to improve service performance.</w:t>
            </w:r>
          </w:p>
        </w:tc>
        <w:tc>
          <w:tcPr>
            <w:tcW w:w="2240" w:type="dxa"/>
            <w:tcBorders>
              <w:top w:val="nil"/>
              <w:left w:val="nil"/>
              <w:bottom w:val="single" w:sz="4" w:space="0" w:color="808080"/>
              <w:right w:val="single" w:sz="4" w:space="0" w:color="808080"/>
            </w:tcBorders>
            <w:shd w:val="clear" w:color="auto" w:fill="auto"/>
            <w:vAlign w:val="center"/>
            <w:hideMark/>
          </w:tcPr>
          <w:p w14:paraId="06591E80"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Communicate with clients about operational performance and remediation plans.</w:t>
            </w:r>
          </w:p>
        </w:tc>
        <w:tc>
          <w:tcPr>
            <w:tcW w:w="2240" w:type="dxa"/>
            <w:tcBorders>
              <w:top w:val="nil"/>
              <w:left w:val="nil"/>
              <w:bottom w:val="single" w:sz="4" w:space="0" w:color="808080"/>
              <w:right w:val="single" w:sz="4" w:space="0" w:color="808080"/>
            </w:tcBorders>
            <w:shd w:val="clear" w:color="auto" w:fill="auto"/>
            <w:vAlign w:val="center"/>
            <w:hideMark/>
          </w:tcPr>
          <w:p w14:paraId="23F3C056"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Lead initiatives to restore and enhance service performance.</w:t>
            </w:r>
          </w:p>
        </w:tc>
      </w:tr>
      <w:tr w:rsidR="00284804" w:rsidRPr="00284804" w14:paraId="2666D4C2" w14:textId="77777777" w:rsidTr="00C826A4">
        <w:trPr>
          <w:trHeight w:val="1960"/>
        </w:trPr>
        <w:tc>
          <w:tcPr>
            <w:tcW w:w="1835" w:type="dxa"/>
            <w:tcBorders>
              <w:top w:val="nil"/>
              <w:left w:val="single" w:sz="4" w:space="0" w:color="808080"/>
              <w:bottom w:val="single" w:sz="4" w:space="0" w:color="808080"/>
              <w:right w:val="single" w:sz="4" w:space="0" w:color="808080"/>
            </w:tcBorders>
            <w:shd w:val="clear" w:color="000000" w:fill="F2F2F2"/>
            <w:vAlign w:val="center"/>
            <w:hideMark/>
          </w:tcPr>
          <w:p w14:paraId="3057F151" w14:textId="77777777" w:rsidR="00284804" w:rsidRPr="00284804" w:rsidRDefault="00284804" w:rsidP="00284804">
            <w:pPr>
              <w:spacing w:after="0" w:line="240" w:lineRule="auto"/>
              <w:rPr>
                <w:rFonts w:ascii="Century Gothic" w:eastAsia="Times New Roman" w:hAnsi="Century Gothic" w:cs="Calibri"/>
                <w:b/>
                <w:bCs/>
              </w:rPr>
            </w:pPr>
            <w:r w:rsidRPr="00284804">
              <w:rPr>
                <w:rFonts w:ascii="Century Gothic" w:eastAsia="Times New Roman" w:hAnsi="Century Gothic" w:cs="Calibri"/>
                <w:b/>
                <w:bCs/>
              </w:rPr>
              <w:t>Subscription Terminations</w:t>
            </w:r>
          </w:p>
        </w:tc>
        <w:tc>
          <w:tcPr>
            <w:tcW w:w="2240" w:type="dxa"/>
            <w:tcBorders>
              <w:top w:val="nil"/>
              <w:left w:val="nil"/>
              <w:bottom w:val="single" w:sz="4" w:space="0" w:color="808080"/>
              <w:right w:val="single" w:sz="4" w:space="0" w:color="808080"/>
            </w:tcBorders>
            <w:shd w:val="clear" w:color="auto" w:fill="auto"/>
            <w:vAlign w:val="center"/>
            <w:hideMark/>
          </w:tcPr>
          <w:p w14:paraId="38D17ECD"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Handle initial queries and concerns about stopping services.</w:t>
            </w:r>
          </w:p>
        </w:tc>
        <w:tc>
          <w:tcPr>
            <w:tcW w:w="2240" w:type="dxa"/>
            <w:tcBorders>
              <w:top w:val="nil"/>
              <w:left w:val="nil"/>
              <w:bottom w:val="single" w:sz="4" w:space="0" w:color="808080"/>
              <w:right w:val="single" w:sz="4" w:space="0" w:color="808080"/>
            </w:tcBorders>
            <w:shd w:val="clear" w:color="auto" w:fill="auto"/>
            <w:vAlign w:val="center"/>
            <w:hideMark/>
          </w:tcPr>
          <w:p w14:paraId="57FA5829"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Oversee and streamline the process for discontinuing services.</w:t>
            </w:r>
          </w:p>
        </w:tc>
        <w:tc>
          <w:tcPr>
            <w:tcW w:w="2240" w:type="dxa"/>
            <w:tcBorders>
              <w:top w:val="nil"/>
              <w:left w:val="nil"/>
              <w:bottom w:val="single" w:sz="4" w:space="0" w:color="808080"/>
              <w:right w:val="single" w:sz="4" w:space="0" w:color="808080"/>
            </w:tcBorders>
            <w:shd w:val="clear" w:color="auto" w:fill="auto"/>
            <w:vAlign w:val="center"/>
            <w:hideMark/>
          </w:tcPr>
          <w:p w14:paraId="3A1506FE"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Handle sensitive negotiations and resolutions regarding service terminations.</w:t>
            </w:r>
          </w:p>
        </w:tc>
        <w:tc>
          <w:tcPr>
            <w:tcW w:w="2240" w:type="dxa"/>
            <w:tcBorders>
              <w:top w:val="nil"/>
              <w:left w:val="nil"/>
              <w:bottom w:val="single" w:sz="4" w:space="0" w:color="808080"/>
              <w:right w:val="single" w:sz="4" w:space="0" w:color="808080"/>
            </w:tcBorders>
            <w:shd w:val="clear" w:color="auto" w:fill="auto"/>
            <w:vAlign w:val="center"/>
            <w:hideMark/>
          </w:tcPr>
          <w:p w14:paraId="53BA1FE7" w14:textId="77777777" w:rsidR="00284804" w:rsidRPr="00284804" w:rsidRDefault="00284804" w:rsidP="00284804">
            <w:pPr>
              <w:spacing w:after="0" w:line="240" w:lineRule="auto"/>
              <w:rPr>
                <w:rFonts w:ascii="Century Gothic" w:eastAsia="Times New Roman" w:hAnsi="Century Gothic" w:cs="Calibri"/>
                <w:color w:val="000000"/>
              </w:rPr>
            </w:pPr>
            <w:r w:rsidRPr="00284804">
              <w:rPr>
                <w:rFonts w:ascii="Century Gothic" w:eastAsia="Times New Roman" w:hAnsi="Century Gothic" w:cs="Calibri"/>
                <w:color w:val="000000"/>
              </w:rPr>
              <w:t>Develop and enforce policies for managing discontinuations effectively.</w:t>
            </w:r>
          </w:p>
        </w:tc>
      </w:tr>
    </w:tbl>
    <w:p w14:paraId="22F79FF6" w14:textId="77777777" w:rsidR="00B152B8" w:rsidRDefault="00B152B8">
      <w:r>
        <w:br w:type="page"/>
      </w:r>
    </w:p>
    <w:p w14:paraId="3ED5E633" w14:textId="77777777" w:rsidR="00B152B8" w:rsidRDefault="00B152B8"/>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126760C2"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A44F6"/>
    <w:rsid w:val="000C75B6"/>
    <w:rsid w:val="00105BE4"/>
    <w:rsid w:val="001A4B52"/>
    <w:rsid w:val="001B3653"/>
    <w:rsid w:val="00234166"/>
    <w:rsid w:val="00284804"/>
    <w:rsid w:val="002D018C"/>
    <w:rsid w:val="00306ACB"/>
    <w:rsid w:val="00376F90"/>
    <w:rsid w:val="004317A4"/>
    <w:rsid w:val="00484B02"/>
    <w:rsid w:val="005A09F8"/>
    <w:rsid w:val="00603841"/>
    <w:rsid w:val="006F4B75"/>
    <w:rsid w:val="00703CDB"/>
    <w:rsid w:val="00715ECA"/>
    <w:rsid w:val="00791285"/>
    <w:rsid w:val="008078A7"/>
    <w:rsid w:val="00817382"/>
    <w:rsid w:val="00841805"/>
    <w:rsid w:val="008F117B"/>
    <w:rsid w:val="00AD5974"/>
    <w:rsid w:val="00AF767F"/>
    <w:rsid w:val="00B152B8"/>
    <w:rsid w:val="00B276AD"/>
    <w:rsid w:val="00B61DEB"/>
    <w:rsid w:val="00BF0475"/>
    <w:rsid w:val="00C17A6F"/>
    <w:rsid w:val="00C826A4"/>
    <w:rsid w:val="00DF48FB"/>
    <w:rsid w:val="00E02B1C"/>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7&amp;utm_source=template-word&amp;utm_medium=content&amp;utm_campaign=Sample+Problem+Escalation+Matrix-word-12107&amp;lpa=Sample+Problem+Escalation+Matrix+word+1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8</cp:revision>
  <dcterms:created xsi:type="dcterms:W3CDTF">2024-06-26T01:01:00Z</dcterms:created>
  <dcterms:modified xsi:type="dcterms:W3CDTF">2024-07-13T18:20:00Z</dcterms:modified>
</cp:coreProperties>
</file>